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796C2" w14:textId="4BE91ACE" w:rsidR="00FE3952" w:rsidRPr="001066A9" w:rsidRDefault="00FE3952" w:rsidP="00FE3952">
      <w:pPr>
        <w:jc w:val="center"/>
        <w:rPr>
          <w:rFonts w:ascii="Arial" w:eastAsiaTheme="minorHAnsi" w:hAnsi="Arial" w:cs="Arial"/>
          <w:b/>
          <w:bCs/>
          <w:lang w:eastAsia="en-US"/>
        </w:rPr>
      </w:pPr>
      <w:r w:rsidRPr="00FE3952">
        <w:rPr>
          <w:rFonts w:ascii="Arial" w:eastAsiaTheme="minorHAnsi" w:hAnsi="Arial" w:cs="Arial"/>
          <w:b/>
          <w:bCs/>
          <w:lang w:eastAsia="en-US"/>
        </w:rPr>
        <w:t xml:space="preserve">Zarządzenie nr 768 Komendanta Głównego Policji z dnia 14 sierpnia 2007 r. </w:t>
      </w:r>
      <w:r w:rsidR="001066A9">
        <w:rPr>
          <w:rFonts w:ascii="Arial" w:eastAsiaTheme="minorHAnsi" w:hAnsi="Arial" w:cs="Arial"/>
          <w:b/>
          <w:bCs/>
          <w:lang w:eastAsia="en-US"/>
        </w:rPr>
        <w:br/>
      </w:r>
      <w:r w:rsidRPr="00FE3952">
        <w:rPr>
          <w:rFonts w:ascii="Arial" w:eastAsiaTheme="minorHAnsi" w:hAnsi="Arial" w:cs="Arial"/>
          <w:b/>
          <w:bCs/>
          <w:lang w:eastAsia="en-US"/>
        </w:rPr>
        <w:t xml:space="preserve">w sprawie form i metod wykonywania zadań przez policjantów pełniących służbę patrolową oraz koordynacji działań o charakterze prewencyjnym </w:t>
      </w:r>
    </w:p>
    <w:p w14:paraId="5E145743" w14:textId="46457E00" w:rsidR="00FE3952" w:rsidRPr="00FE3952" w:rsidRDefault="00FE3952" w:rsidP="00FE3952">
      <w:pPr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FE3952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(</w:t>
      </w:r>
      <w:r w:rsidRPr="00A4384F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Dz. Urz. KGP Nr 15, poz. 119 - </w:t>
      </w:r>
      <w:r w:rsidRPr="00FE3952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tekst ujednolicony</w:t>
      </w:r>
      <w:r w:rsidR="00A4384F" w:rsidRPr="00A4384F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wg stanu na dzień 12.06.2026 r.</w:t>
      </w:r>
      <w:r w:rsidRPr="00FE3952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)</w:t>
      </w:r>
    </w:p>
    <w:p w14:paraId="7D134AE7" w14:textId="77777777" w:rsidR="00FE3952" w:rsidRPr="00A4384F" w:rsidRDefault="00FE3952">
      <w:pPr>
        <w:spacing w:before="130" w:after="130" w:line="240" w:lineRule="auto"/>
        <w:jc w:val="both"/>
        <w:rPr>
          <w:rFonts w:ascii="Arial" w:eastAsia="Helvetica" w:hAnsi="Arial" w:cs="Arial"/>
          <w:b/>
          <w:sz w:val="20"/>
          <w:szCs w:val="20"/>
        </w:rPr>
      </w:pPr>
    </w:p>
    <w:p w14:paraId="326B5019" w14:textId="77777777" w:rsidR="00FE3952" w:rsidRPr="00A4384F" w:rsidRDefault="00FE3952">
      <w:pPr>
        <w:spacing w:before="130" w:after="130" w:line="240" w:lineRule="auto"/>
        <w:jc w:val="both"/>
        <w:rPr>
          <w:rFonts w:ascii="Arial" w:eastAsia="Helvetica" w:hAnsi="Arial" w:cs="Arial"/>
          <w:b/>
          <w:sz w:val="20"/>
          <w:szCs w:val="20"/>
        </w:rPr>
      </w:pPr>
    </w:p>
    <w:p w14:paraId="44EC588B" w14:textId="41AA3000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Na podstawie art. 7 ust. 1 pkt 2 ustawy z dnia 6 kwietnia 1990 r. o Policji (Dz.U. z 20</w:t>
      </w:r>
      <w:r w:rsidR="00D51E4E">
        <w:rPr>
          <w:rFonts w:ascii="Arial" w:eastAsia="Helvetica" w:hAnsi="Arial" w:cs="Arial"/>
          <w:sz w:val="20"/>
          <w:szCs w:val="20"/>
        </w:rPr>
        <w:t>25</w:t>
      </w:r>
      <w:r w:rsidRPr="00A4384F">
        <w:rPr>
          <w:rFonts w:ascii="Arial" w:eastAsia="Helvetica" w:hAnsi="Arial" w:cs="Arial"/>
          <w:sz w:val="20"/>
          <w:szCs w:val="20"/>
        </w:rPr>
        <w:t xml:space="preserve"> r. poz. </w:t>
      </w:r>
      <w:r w:rsidR="00D51E4E">
        <w:rPr>
          <w:rFonts w:ascii="Arial" w:eastAsia="Helvetica" w:hAnsi="Arial" w:cs="Arial"/>
          <w:sz w:val="20"/>
          <w:szCs w:val="20"/>
        </w:rPr>
        <w:t>636</w:t>
      </w:r>
      <w:r w:rsidRPr="00A4384F">
        <w:rPr>
          <w:rFonts w:ascii="Arial" w:eastAsia="Helvetica" w:hAnsi="Arial" w:cs="Arial"/>
          <w:sz w:val="20"/>
          <w:szCs w:val="20"/>
        </w:rPr>
        <w:t>, z 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późn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>. zm.</w:t>
      </w:r>
      <w:r w:rsidRPr="00A4384F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A4384F">
        <w:rPr>
          <w:rFonts w:ascii="Arial" w:eastAsia="Helvetica" w:hAnsi="Arial" w:cs="Arial"/>
          <w:sz w:val="20"/>
          <w:szCs w:val="20"/>
        </w:rPr>
        <w:t>) zarządza się, co następuje:</w:t>
      </w:r>
    </w:p>
    <w:p w14:paraId="3A0DAFC7" w14:textId="77777777" w:rsidR="00B074C8" w:rsidRPr="00A4384F" w:rsidRDefault="00000000" w:rsidP="00564825">
      <w:pPr>
        <w:suppressAutoHyphens/>
        <w:spacing w:before="360" w:after="360" w:line="240" w:lineRule="auto"/>
        <w:jc w:val="center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caps/>
          <w:sz w:val="20"/>
          <w:szCs w:val="20"/>
        </w:rPr>
        <w:t>Rozdział 1. Przepisy ogólne</w:t>
      </w:r>
    </w:p>
    <w:p w14:paraId="109E3AEC" w14:textId="0CF424DA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1</w:t>
      </w:r>
      <w:r w:rsidR="00E806C7">
        <w:rPr>
          <w:rFonts w:ascii="Arial" w:hAnsi="Arial" w:cs="Arial"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Zarządzenie określa:</w:t>
      </w:r>
    </w:p>
    <w:p w14:paraId="21472144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formy i metody wykonywania zadań w zakresie ochrony bezpieczeństwa ludzi oraz utrzymywania bezpieczeństwa i porządku publicznego przez policjantów pełniących służbę patrolową, a w szczególności: organizację służby patrolowej i sposób pełnienia służby patrolowej;</w:t>
      </w:r>
    </w:p>
    <w:p w14:paraId="40D3E3A7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 xml:space="preserve">2) przedsięwzięcia i warunki współpracy służb Policji oraz podmiotów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pozapolicyjnych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 xml:space="preserve"> działających w celu poprawy stanu bezpieczeństwa, warunki koordynacji ich prac - na potrzeby działań zewnętrznych - z zastrzeżeniem ust. 2.</w:t>
      </w:r>
    </w:p>
    <w:p w14:paraId="1BD14F1E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Zarządzenie nie narusza odrębnych uregulowań, w szczególności, w zakresie organizacji i pełnienia służby przez policjantów: na drogach, morzu terytorialnym, morskich wodach wewnętrznych i wodach śródlądowych oraz na pokładach statków powietrznych.</w:t>
      </w:r>
    </w:p>
    <w:p w14:paraId="47D4F662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Przepisy zarządzenia dotyczące komendanta powiatowego Policji i komendy powiatowej Policji stosuje się odpowiednio do komendanta miejskiego Policji i komendy miejskiej Policji oraz komendanta rejonowego Policji i komendy rejonowej Policji.</w:t>
      </w:r>
    </w:p>
    <w:p w14:paraId="4FFCE830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4. Przepisy zarządzenia dotyczące oddziałów prewencji Policji stosuje się odpowiednio do samodzielnych pododdziałów prewencji Policji.</w:t>
      </w:r>
    </w:p>
    <w:p w14:paraId="34646A6E" w14:textId="6806AAEE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2</w:t>
      </w:r>
      <w:r w:rsidR="00E806C7">
        <w:rPr>
          <w:rFonts w:ascii="Arial" w:eastAsia="Helvetica" w:hAnsi="Arial" w:cs="Arial"/>
          <w:b/>
          <w:sz w:val="20"/>
          <w:szCs w:val="20"/>
        </w:rPr>
        <w:t>.</w:t>
      </w:r>
      <w:r w:rsidRPr="00A4384F">
        <w:rPr>
          <w:rFonts w:ascii="Arial" w:eastAsia="Helvetica" w:hAnsi="Arial" w:cs="Arial"/>
          <w:sz w:val="20"/>
          <w:szCs w:val="20"/>
        </w:rPr>
        <w:t xml:space="preserve"> Użyte w zarządzeniu określenia oznaczają:</w:t>
      </w:r>
    </w:p>
    <w:p w14:paraId="0B53D482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organizacja służby patrolowej - zespół czynności polegających w szczególności na analizowaniu i planowaniu służby, przygotowaniu policjantów do służby, w tym ich rozmieszczeniu w terenie oraz koordynacji i nadzoru wykonywania tej służby w celu realizacji zadań ustawowych Policji;</w:t>
      </w:r>
    </w:p>
    <w:p w14:paraId="2A0C2AD6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służba patrolowa lub patrolowanie - wykonywanie zadań służbowych przez policjanta lub grupę policjantów w patrolu pieszym lub z wykorzystaniem środka transportu służącego do przemieszczania się w określonym rejonie zagrożenia, rejonie odpowiedzialności, na wyznaczonej trasie patrolowej lub w określonym miejscu zagrożonym;</w:t>
      </w:r>
    </w:p>
    <w:p w14:paraId="2FD422A5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 xml:space="preserve">3) działania zewnętrzne - działania patrolowe, obchodowe i podstawowe czynności operacyjno-rozpoznawcze, wykonywane przez Policję lub wspólnie z podmiotami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pozapolicyjnymi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>, na zasadach określonych w odrębnych przepisach;</w:t>
      </w:r>
    </w:p>
    <w:p w14:paraId="7841D1AE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rejon zagrożenia - określony obszar terenu, charakteryzujący się szczególnym nasileniem przestępstw, wykroczeń lub występowaniem innych zjawisk patologii społecznej;</w:t>
      </w:r>
    </w:p>
    <w:p w14:paraId="1015F3D4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5) trasa patrolowa - odcinek drogi łączący rejony i miejsca zagrożone, ważniejsze obiekty, posterunki lub inne punkty i miejsca wynikające z bieżących potrzeb służby;</w:t>
      </w:r>
    </w:p>
    <w:p w14:paraId="3537C9FB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lastRenderedPageBreak/>
        <w:t>6) miejsce zagrożone - obiekt lub niewielki obszar, które według aktualnego rozpoznania, wymagają systematycznego nadzoru i kontroli policyjnej ze względu na występowanie przestępstw, wykroczeń lub innych zjawisk patologii społecznej;</w:t>
      </w:r>
    </w:p>
    <w:p w14:paraId="384C8457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7) rejon odpowiedzialności - obszar wyznaczony na podstawie rejonów zagrożenia, miejsc zagrożonych, rejonów służbowych dzielnicowych oraz innych wskazanych rejonów, w których w miarę możliwości służbę pełnią ci sami policjanci, którzy odpowiadają za stan bezpieczeństwa na tym obszarze;</w:t>
      </w:r>
    </w:p>
    <w:p w14:paraId="6A7DD57E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8) posterunek - ściśle określone miejsce pełnienia służby patrolowej, w trakcie której realizowane są zadania określone w odrębnym regulaminie opracowanym przez policjanta odpowiedzialnego za organizację służby patrolowej;</w:t>
      </w:r>
    </w:p>
    <w:p w14:paraId="78744572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9) siły wzmocnienia - policjanci skierowani lub oddelegowani do pełnienia służby patrolowej na co dzień realizujący inne zadania służbowe oraz policjanci służby patrolowej skierowani lub delegowani do realizacji zadań poza macierzystą jednostkę;</w:t>
      </w:r>
    </w:p>
    <w:p w14:paraId="1F991E3A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10) system koncentryczny - sposób organizacji służby gwarantujący możliwość doraźnego koncentrowania policjantów i kierowania ich do działań zespołowych;</w:t>
      </w:r>
    </w:p>
    <w:p w14:paraId="50295BA1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 xml:space="preserve">11) zintegrowany system organizacji dyslokacji służby - system oparty na skoordynowanym współdziałaniu jednostek Policji i podmiotów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pozapolicyjnych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 xml:space="preserve"> oraz działaniu i współdziałaniu komórek organizacyjnych jednostek Policji w celu realizacji działań zewnętrznych;</w:t>
      </w:r>
    </w:p>
    <w:p w14:paraId="5DAD110B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12)</w:t>
      </w:r>
      <w:r w:rsidRPr="00A4384F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A4384F">
        <w:rPr>
          <w:rFonts w:ascii="Arial" w:eastAsia="Helvetica" w:hAnsi="Arial" w:cs="Arial"/>
          <w:sz w:val="20"/>
          <w:szCs w:val="20"/>
        </w:rPr>
        <w:t xml:space="preserve"> ceduła patrolowa – dokument mający formę graficzno-opisową służący usprawnieniu służby patrolowej, zawierający charakterystykę rejonów zagrożenia, tras patrolowych, miejsc zagrożonych, rejonów odpowiedzialności oraz zbiór podstawowych informacji wykorzystywanych w trakcie pełnienia służby. Ceduła patrolowa może być prowadzona w formie elektronicznej w systemach teleinformatycznych Policji;</w:t>
      </w:r>
    </w:p>
    <w:p w14:paraId="5373BFDE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12a)</w:t>
      </w:r>
      <w:r w:rsidRPr="00A4384F">
        <w:rPr>
          <w:rStyle w:val="Odwoanieprzypisudolnego"/>
          <w:rFonts w:ascii="Arial" w:hAnsi="Arial" w:cs="Arial"/>
          <w:sz w:val="20"/>
          <w:szCs w:val="20"/>
        </w:rPr>
        <w:footnoteReference w:id="3"/>
      </w:r>
      <w:r w:rsidRPr="00A4384F">
        <w:rPr>
          <w:rFonts w:ascii="Arial" w:eastAsia="Helvetica" w:hAnsi="Arial" w:cs="Arial"/>
          <w:sz w:val="20"/>
          <w:szCs w:val="20"/>
        </w:rPr>
        <w:t xml:space="preserve"> e-Ceduła - ceduła patrolowa prowadzona w formie elektronicznej w systemach teleinformatycznych Policji;</w:t>
      </w:r>
    </w:p>
    <w:p w14:paraId="1A947E91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12b)</w:t>
      </w:r>
      <w:r w:rsidRPr="00A4384F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Pr="00A4384F">
        <w:rPr>
          <w:rFonts w:ascii="Arial" w:eastAsia="Helvetica" w:hAnsi="Arial" w:cs="Arial"/>
          <w:sz w:val="20"/>
          <w:szCs w:val="20"/>
        </w:rPr>
        <w:t xml:space="preserve"> notatnik służbowy - notatnik służący do dokumentowania zlecanych i realizowanych czynności służbowych przez policjanta, zgodnie z obowiązującymi przepisami oraz utrwalania innych, niezbędnych informacji dotyczących przebiegu służby, prowadzony w formie papierowej lub elektronicznej;</w:t>
      </w:r>
    </w:p>
    <w:p w14:paraId="4DC84F20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12c)</w:t>
      </w:r>
      <w:r w:rsidRPr="00A4384F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Pr="00A4384F">
        <w:rPr>
          <w:rFonts w:ascii="Arial" w:eastAsia="Helvetica" w:hAnsi="Arial" w:cs="Arial"/>
          <w:sz w:val="20"/>
          <w:szCs w:val="20"/>
        </w:rPr>
        <w:t xml:space="preserve"> e-Notatnik - notatnik służbowy prowadzony w formie elektronicznej w systemach teleinformatycznych Policji.</w:t>
      </w:r>
    </w:p>
    <w:p w14:paraId="18905F49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13) zadania doraźne - polecenie podjęcia jednorazowych lub przewidzianych do realizacji w krótkim czasie określonych działań wynikających z wniosków wynikających z analizy stanu bezpieczeństwa i porządku publicznego lub z informacji uzyskanych od służb Policji oraz pochodzących z innych źródeł;</w:t>
      </w:r>
    </w:p>
    <w:p w14:paraId="75A43321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 xml:space="preserve">14) podmiot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pozapolicyjny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 xml:space="preserve"> - inne niż Policja podmioty działające na rzecz zapobiegania popełnianiu przestępstw, wykroczeń oraz zapobiegania innym zjawiskom patologii społecznej.</w:t>
      </w:r>
    </w:p>
    <w:p w14:paraId="374A815C" w14:textId="62D85A8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3</w:t>
      </w:r>
      <w:r w:rsidR="00E806C7">
        <w:rPr>
          <w:rFonts w:ascii="Arial" w:eastAsia="Helvetica" w:hAnsi="Arial" w:cs="Arial"/>
          <w:b/>
          <w:sz w:val="20"/>
          <w:szCs w:val="20"/>
        </w:rPr>
        <w:t>.</w:t>
      </w:r>
      <w:r w:rsidRPr="00A4384F">
        <w:rPr>
          <w:rFonts w:ascii="Arial" w:eastAsia="Helvetica" w:hAnsi="Arial" w:cs="Arial"/>
          <w:sz w:val="20"/>
          <w:szCs w:val="20"/>
        </w:rPr>
        <w:t xml:space="preserve"> Służbę patrolową pełnią policjanci:</w:t>
      </w:r>
    </w:p>
    <w:p w14:paraId="40517060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komórek:</w:t>
      </w:r>
    </w:p>
    <w:p w14:paraId="0F50F76F" w14:textId="77777777" w:rsidR="00B074C8" w:rsidRPr="00A4384F" w:rsidRDefault="00000000">
      <w:pPr>
        <w:spacing w:before="130" w:after="130" w:line="240" w:lineRule="auto"/>
        <w:ind w:left="44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a) patrolowych,</w:t>
      </w:r>
    </w:p>
    <w:p w14:paraId="303107A9" w14:textId="77777777" w:rsidR="00B074C8" w:rsidRPr="00A4384F" w:rsidRDefault="00000000">
      <w:pPr>
        <w:spacing w:before="130" w:after="130" w:line="240" w:lineRule="auto"/>
        <w:ind w:left="44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b) interwencyjnych,</w:t>
      </w:r>
    </w:p>
    <w:p w14:paraId="63FFA9EC" w14:textId="77777777" w:rsidR="00B074C8" w:rsidRPr="00A4384F" w:rsidRDefault="00000000">
      <w:pPr>
        <w:spacing w:before="130" w:after="130" w:line="240" w:lineRule="auto"/>
        <w:ind w:left="44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c) patrolowo-interwencyjnych,</w:t>
      </w:r>
    </w:p>
    <w:p w14:paraId="6226A02B" w14:textId="77777777" w:rsidR="00B074C8" w:rsidRPr="00A4384F" w:rsidRDefault="00000000">
      <w:pPr>
        <w:spacing w:before="130" w:after="130" w:line="240" w:lineRule="auto"/>
        <w:ind w:left="44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d) wywiadowczych;</w:t>
      </w:r>
    </w:p>
    <w:p w14:paraId="7EDB7EDD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oddziałów prewencji Policji;</w:t>
      </w:r>
    </w:p>
    <w:p w14:paraId="459EDE0B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lastRenderedPageBreak/>
        <w:t>3) innych, niż wymienione w pkt 1 i 2, jednostek i komórek organizacyjnych Policji.</w:t>
      </w:r>
    </w:p>
    <w:p w14:paraId="2CE4894B" w14:textId="2A2C9F9D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4</w:t>
      </w:r>
      <w:r w:rsidR="00E806C7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Podstawowym zadaniem policjantów pełniących służbę patrolową jest przeciwdziałanie popełnianiu przestępstw lub wykroczeń, a w szczególności:</w:t>
      </w:r>
    </w:p>
    <w:p w14:paraId="5673D27E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 xml:space="preserve">1) zapobieganie wszelkim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zachowaniom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 xml:space="preserve"> mogącym stanowić zagrożenie dla bezpieczeństwa osób i mienia lub naruszającym porządek publiczny;</w:t>
      </w:r>
    </w:p>
    <w:p w14:paraId="345F1A38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zapobieganie popełnianiu przestępstw i wykroczeń w miejscach publicznych;</w:t>
      </w:r>
    </w:p>
    <w:p w14:paraId="3F7DA625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prowadzenie niezbędnych działań profilaktycznych;</w:t>
      </w:r>
    </w:p>
    <w:p w14:paraId="525B9E13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nawiązywanie i utrzymywanie więzi ze społecznością lokalną w celu tworzenia atmosfery poczucia bezpieczeństwa i współodpowiedzialności za zapobieganie zagrożeniom, o których mowa w pkt 1 i 2.</w:t>
      </w:r>
    </w:p>
    <w:p w14:paraId="1FCC276E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W razie zaistnienia przestępstwa lub wykroczenia policjanci, o których mowa w ust. 1, niezwłocznie podejmują działania zmierzające do ujęcia sprawcy.</w:t>
      </w:r>
    </w:p>
    <w:p w14:paraId="76116958" w14:textId="0D36785E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5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Pr="00A4384F">
        <w:rPr>
          <w:rFonts w:ascii="Arial" w:eastAsia="Helvetica" w:hAnsi="Arial" w:cs="Arial"/>
          <w:sz w:val="20"/>
          <w:szCs w:val="20"/>
        </w:rPr>
        <w:t xml:space="preserve"> Komendant powiatowy Policji i komendant komisariatu Policji odpowiada za prawidłową organizację służby patrolowej, a w szczególności za:</w:t>
      </w:r>
    </w:p>
    <w:p w14:paraId="150352A0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opracowywanie analiz stanu bezpieczeństwa i porządku na potrzeby dyslokacji służby i, na podstawie wniosków, wyznaczanie miejsc zagrożonych, rejonów zagrożenia, rejonów odpowiedzialności, tras patrolowych oraz określanie celów i sposobów ich realizacji;</w:t>
      </w:r>
    </w:p>
    <w:p w14:paraId="3B858F21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opracowywanie planów dyslokacji służby oraz określanie taktyki działania patroli policyjnych;</w:t>
      </w:r>
    </w:p>
    <w:p w14:paraId="0DD0B803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opracowanie i aktualizację ceduł patrolowych;</w:t>
      </w:r>
    </w:p>
    <w:p w14:paraId="1B300875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sporządzanie przez właściwych kierowników komórek prewencji grafików służby policjantów planowanych do pełnienia służby patrolowej;</w:t>
      </w:r>
    </w:p>
    <w:p w14:paraId="1CC14147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5) występowanie o przydział sił wzmocnienia;</w:t>
      </w:r>
    </w:p>
    <w:p w14:paraId="3CF2134A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6) określenie systemu nadzoru nad realizacją zadań wykonywanych przez policjantów w służbie patrolowej;</w:t>
      </w:r>
    </w:p>
    <w:p w14:paraId="2DDAD733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 xml:space="preserve">7) określenie sposobu współpracy z podmiotami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pozapolicyjnymi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 xml:space="preserve"> oraz współdziałanie z nimi w podejmowaniu działań na rzecz poprawy stanu bezpieczeństwa i porządku w miejscach publicznych zgodnie z zasadami określonymi w odrębnych przepisach.</w:t>
      </w:r>
    </w:p>
    <w:p w14:paraId="74059CE4" w14:textId="303FA872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6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W celu zapewnienia sprawnej i efektywnej organizacji służby patrolowej oraz skutecznego nadzoru nad jej pełnieniem wyznacza się policjanta odpowiedzialnego za organizację tej służby w komendzie powiatowej Policji i, w zależności od potrzeb, w podległych komisariatach Policji.</w:t>
      </w:r>
    </w:p>
    <w:p w14:paraId="1660C8CC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Bezpośredni nadzór nad policjantem, o którym mowa w ust. 1, powierza się:</w:t>
      </w:r>
    </w:p>
    <w:p w14:paraId="1A03F83A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w komendzie powiatowej Policji - kierownikowi właściwej komórki służby prewencyjnej;</w:t>
      </w:r>
    </w:p>
    <w:p w14:paraId="255692CD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w komisariatach Policji - kierownikowi, o którym mowa w pkt 1, komendantowi tej jednostki lub jego zastępcy.</w:t>
      </w:r>
    </w:p>
    <w:p w14:paraId="054A9220" w14:textId="152DF109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7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Pr="00A4384F">
        <w:rPr>
          <w:rFonts w:ascii="Arial" w:eastAsia="Helvetica" w:hAnsi="Arial" w:cs="Arial"/>
          <w:sz w:val="20"/>
          <w:szCs w:val="20"/>
        </w:rPr>
        <w:t xml:space="preserve"> Policjant odpowiedzialny za organizację służby patrolowej realizuje w szczególności następujące zadania:</w:t>
      </w:r>
    </w:p>
    <w:p w14:paraId="18D48C53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 xml:space="preserve">1) sporządza analizę stanu bezpieczeństwa i porządku na potrzeby dyslokacji służby wykorzystując informacje przekazywane z komórek realizujących czynności operacyjno-rozpoznawcze i od kierowników komórek służby prewencyjnej, a także pochodzące z innych źródeł, w tym ze środków masowego przekazu, od władz samorządowych i społeczności lokalnej oraz podmiotów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pozapolicyjnych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>;</w:t>
      </w:r>
    </w:p>
    <w:p w14:paraId="2D18168F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określa rejony zagrożenia, rejony odpowiedzialności, miejsca zagrożone i trasy patrolowe w celu odpowiedniego dostosowania i rozmieszczenia sił i środków oraz podjęcia działań w zależności od przewidywanego w danym miejscu i czasie zagrożenia;</w:t>
      </w:r>
    </w:p>
    <w:p w14:paraId="10262D97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opracowuje i aktualizuje ceduły patrolowe;</w:t>
      </w:r>
    </w:p>
    <w:p w14:paraId="23AFB1D4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lastRenderedPageBreak/>
        <w:t>4) wyznacza zadania doraźne w zakresie służby patrolowej;</w:t>
      </w:r>
    </w:p>
    <w:p w14:paraId="2645DFCB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5) inspiruje jednostki podległe i właściwe komórki organizacyjne do podejmowania przedsięwzięć mających wpływ na wzrost poczucia bezpieczeństwa obywateli;</w:t>
      </w:r>
    </w:p>
    <w:p w14:paraId="61A7370D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6) na bieżąco monitoruje stan zagrożenia przestępstwami, wykroczeniami i innymi zjawiskami patologii społecznej;</w:t>
      </w:r>
    </w:p>
    <w:p w14:paraId="66F7D26D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7) opracowuje regulamin pełnienia służby patrolowej na posterunku;</w:t>
      </w:r>
    </w:p>
    <w:p w14:paraId="4C507E3B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 xml:space="preserve">8) sporządza plan dyslokacji służby uwzględniający rozmieszczenie wszystkich służb policyjnych oraz w miarę możliwości siły i środki podmiotów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pozapolicyjnych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>;</w:t>
      </w:r>
    </w:p>
    <w:p w14:paraId="47078715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9) planuje rozmieszczenie policjantów komórek interwencyjnych w taki sposób, aby w razie potrzeby można było w maksymalnie krótkim czasie skoncentrować wszystkie patrole w jednym miejscu i przemieścić je w miejsce wydarzenia lub interwencji;</w:t>
      </w:r>
    </w:p>
    <w:p w14:paraId="06D60ED1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 xml:space="preserve">10) bierze udział we współpracy z podmiotami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pozapolicyjnymi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>, mającej na celu wymianę informacji przydatnych do opracowania analizy stanu bezpieczeństwa i porządku na potrzeby dyslokacji służby, w tym uwzględniającej podział zadań.</w:t>
      </w:r>
    </w:p>
    <w:p w14:paraId="5D0327C3" w14:textId="77777777" w:rsidR="00B074C8" w:rsidRPr="00A4384F" w:rsidRDefault="00000000" w:rsidP="00564825">
      <w:pPr>
        <w:suppressAutoHyphens/>
        <w:spacing w:before="360" w:after="360" w:line="240" w:lineRule="auto"/>
        <w:jc w:val="center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caps/>
          <w:sz w:val="20"/>
          <w:szCs w:val="20"/>
        </w:rPr>
        <w:t>Rozdział 2. Organizacja służby</w:t>
      </w:r>
    </w:p>
    <w:p w14:paraId="30BB5BB5" w14:textId="6E12D70A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8</w:t>
      </w:r>
      <w:r w:rsidR="006D2E26" w:rsidRPr="006D2E26">
        <w:rPr>
          <w:rFonts w:ascii="Arial" w:hAnsi="Arial" w:cs="Arial"/>
          <w:b/>
          <w:bCs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 xml:space="preserve">1. Mając na uwadze efektywne wykorzystanie sił i środków służb Policji oraz rozwój współpracy z podmiotami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pozapolicyjnymi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>, w tym z samorządem terytorialnym, pełnienie służby patrolowej oraz działania zewnętrzne należy realizować na podstawie zintegrowanego systemu organizacji i dyslokacji służby opierającego się na rejonach odpowiedzialności.</w:t>
      </w:r>
    </w:p>
    <w:p w14:paraId="1EB9EE12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 xml:space="preserve">2. Realizacja zadań w ramach zintegrowanego systemu organizacji i dyslokacji służby w szczególności polega na działaniu i współdziałaniu komórek organizacyjnych jednostek Policji, w tym również wspólnie z podmiotami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pozapolicyjnymi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>, poprzez skoordynowane:</w:t>
      </w:r>
    </w:p>
    <w:p w14:paraId="5DEEEEAC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realizowanie zadań przez policjantów różnych jednostek lub komórek organizacyjnych Policji;</w:t>
      </w:r>
    </w:p>
    <w:p w14:paraId="324716ED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pełnienie wspólnych służb patrolowych przez policjantów i przedstawicieli podmiotów wymienionych w § 12 ust. 4;</w:t>
      </w:r>
    </w:p>
    <w:p w14:paraId="6C473ECA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wyznaczanie rejonów odpowiedzialności, w których służbę pełnią odrębnie przedstawiciele poszczególnych podmiotów działających na rzecz zapobiegania popełnianiu przestępstw, wykroczeń oraz zapobiegania innym zjawiskom patologii społecznej;</w:t>
      </w:r>
    </w:p>
    <w:p w14:paraId="0440AA2C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wyznaczanie dla poszczególnych podmiotów ścisłego zakresu kompetencji w określonych obszarach odpowiedzialności.</w:t>
      </w:r>
    </w:p>
    <w:p w14:paraId="3FCD04EB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W ramach organizacji i realizacji działań zewnętrznych:</w:t>
      </w:r>
    </w:p>
    <w:p w14:paraId="37428848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 xml:space="preserve">1) organizuje się systematycznie spotkania przedstawicieli Policji z przedstawicielami podmiotów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pozapolicyjnych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>;</w:t>
      </w:r>
    </w:p>
    <w:p w14:paraId="0E7314FD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 xml:space="preserve">2) tworzy się mapy zagrożeń - na podstawie analiz stanu bezpieczeństwa i porządku sporządzanych na potrzeby dyslokacji służb wszystkich podmiotów działających na rzecz zapobiegania popełnianiu przestępstw, wykroczeń oraz zapobiegania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zachowaniom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 xml:space="preserve"> aspołecznym;</w:t>
      </w:r>
    </w:p>
    <w:p w14:paraId="6FF8F7C9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wspólnie planuje się przedsięwzięcia;</w:t>
      </w:r>
    </w:p>
    <w:p w14:paraId="3D46DDF8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koordynuje się działania zewnętrzne;</w:t>
      </w:r>
    </w:p>
    <w:p w14:paraId="62BE47FC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5) dokonuje się wspólnej oceny osiągniętych efektów.</w:t>
      </w:r>
    </w:p>
    <w:p w14:paraId="7F351ABD" w14:textId="6F3FB0C5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9</w:t>
      </w:r>
      <w:r w:rsidR="006D2E26" w:rsidRPr="006D2E26">
        <w:rPr>
          <w:rFonts w:ascii="Arial" w:hAnsi="Arial" w:cs="Arial"/>
          <w:b/>
          <w:bCs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Koordynację działań zewnętrznych powierza się zastępcom komendantów, nadzorujących służbę prewencyjną w komendach wojewódzkich i Komendzie Stołecznej Policji oraz w komendach powiatowych Policji, zwanych dalej</w:t>
      </w:r>
      <w:r w:rsidR="00FE3952" w:rsidRPr="00A4384F">
        <w:rPr>
          <w:rFonts w:ascii="Arial" w:eastAsia="Helvetica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,,koordynatorami''.</w:t>
      </w:r>
    </w:p>
    <w:p w14:paraId="334FC6E3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lastRenderedPageBreak/>
        <w:t>2. W przypadku gdy w strukturze etatowej jednostki Policji jest jeden zastępca komendanta, funkcję koordynatora pełni nadzorujący służbę prewencyjną komendant lub jego zastępca.</w:t>
      </w:r>
    </w:p>
    <w:p w14:paraId="168DC09E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Komendant powiatowy, w zależności od potrzeb może powołać koordynatora w podległych sobie komisariatach Policji.</w:t>
      </w:r>
    </w:p>
    <w:p w14:paraId="7C49052B" w14:textId="39A93BE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10</w:t>
      </w:r>
      <w:r w:rsidR="006D2E26" w:rsidRPr="006D2E26">
        <w:rPr>
          <w:rFonts w:ascii="Arial" w:hAnsi="Arial" w:cs="Arial"/>
          <w:b/>
          <w:bCs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Do zadań koordynatora wojewódzkiego i Stołecznego należy w szczególności:</w:t>
      </w:r>
    </w:p>
    <w:p w14:paraId="1858497F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analizowanie stanu bezpieczeństwa i porządku oraz jego zmian na terenie województwa;</w:t>
      </w:r>
    </w:p>
    <w:p w14:paraId="0E083ED1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określanie kierunków działań zewnętrznych;</w:t>
      </w:r>
    </w:p>
    <w:p w14:paraId="6D5E9BCF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 xml:space="preserve">3) przydzielanie jednostkom podległym sił wzmocnienia oraz sił podmiotów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pozapolicyjnych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>;</w:t>
      </w:r>
    </w:p>
    <w:p w14:paraId="618C43C4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3a)</w:t>
      </w:r>
      <w:r w:rsidRPr="00A4384F">
        <w:rPr>
          <w:rStyle w:val="Odwoanieprzypisudolnego"/>
          <w:rFonts w:ascii="Arial" w:hAnsi="Arial" w:cs="Arial"/>
          <w:sz w:val="20"/>
          <w:szCs w:val="20"/>
        </w:rPr>
        <w:footnoteReference w:id="6"/>
      </w:r>
      <w:r w:rsidRPr="00A4384F">
        <w:rPr>
          <w:rFonts w:ascii="Arial" w:eastAsia="Helvetica" w:hAnsi="Arial" w:cs="Arial"/>
          <w:sz w:val="20"/>
          <w:szCs w:val="20"/>
        </w:rPr>
        <w:t xml:space="preserve"> koordynowanie sposobu wykorzystania jednowyrazowych haseł pomocniczych, umożliwiających policjantom niezwłoczną identyfikację policjantów nieumundurowanych, w ramach współdziałania;</w:t>
      </w:r>
    </w:p>
    <w:p w14:paraId="5D10A1E0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sprawowanie nadzoru nad koordynatorami powiatowymi oraz ocena efektów działań.</w:t>
      </w:r>
    </w:p>
    <w:p w14:paraId="621EE8E3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Do zadań koordynatora powiatowego należy w szczególności:</w:t>
      </w:r>
    </w:p>
    <w:p w14:paraId="56D9367D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analizowanie stanu bezpieczeństwa i porządku oraz jego zmian;</w:t>
      </w:r>
    </w:p>
    <w:p w14:paraId="660C3412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kierowanie realizacją działań zewnętrznych;</w:t>
      </w:r>
    </w:p>
    <w:p w14:paraId="7D368E7F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pozyskiwanie i efektywne wykorzystanie sił przydzielonych;</w:t>
      </w:r>
    </w:p>
    <w:p w14:paraId="310596EC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określanie sposobu i taktyki pełnienia służby;</w:t>
      </w:r>
    </w:p>
    <w:p w14:paraId="3E7BAE15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5) nadzór nad realizacją zadań, w tym poprzez bezpośrednie uczestniczenie;</w:t>
      </w:r>
    </w:p>
    <w:p w14:paraId="29D22702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 xml:space="preserve">6) określenie zasad współpracy z podmiotami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pozapolicyjnymi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>;</w:t>
      </w:r>
    </w:p>
    <w:p w14:paraId="7E2F4739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 xml:space="preserve">7) cykliczne opracowywanie analiz stanu bezpieczeństwa i porządku z udziałem podmiotów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pozapolicyjnych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>, dla potrzeb dyslokacji służb, uwzględniającej podział zadań;</w:t>
      </w:r>
    </w:p>
    <w:p w14:paraId="76CC4B31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8) opracowywanie i aktualizacja zintegrowanych planów dyslokacji służb;</w:t>
      </w:r>
    </w:p>
    <w:p w14:paraId="166D8FD0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9) tworzenie atmosfery współodpowiedzialności za zapobieganie zagrożeniom i poczucie bezpieczeństwa społeczności lokalnej;</w:t>
      </w:r>
    </w:p>
    <w:p w14:paraId="0432DF88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10) sprawowanie nadzoru nad koordynatorami w komisariatach Policji, o ile zostali powołani, oraz ocena efektów działań.</w:t>
      </w:r>
    </w:p>
    <w:p w14:paraId="2EB60407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Przepisy ust. 2 stosuje się odpowiednio w odniesieniu do koordynatora komisariatu Policji.</w:t>
      </w:r>
    </w:p>
    <w:p w14:paraId="17C54D0C" w14:textId="4FDEF979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4. Koordynator realizuje swoje zadania przy pomocy zespołu zadaniowego, zwanego dalej</w:t>
      </w:r>
      <w:r w:rsidR="001353B4" w:rsidRPr="00A4384F">
        <w:rPr>
          <w:rFonts w:ascii="Arial" w:eastAsia="Helvetica" w:hAnsi="Arial" w:cs="Arial"/>
          <w:sz w:val="20"/>
          <w:szCs w:val="20"/>
        </w:rPr>
        <w:t xml:space="preserve"> „</w:t>
      </w:r>
      <w:r w:rsidRPr="00A4384F">
        <w:rPr>
          <w:rFonts w:ascii="Arial" w:eastAsia="Helvetica" w:hAnsi="Arial" w:cs="Arial"/>
          <w:sz w:val="20"/>
          <w:szCs w:val="20"/>
        </w:rPr>
        <w:t>zespołem</w:t>
      </w:r>
      <w:r w:rsidR="001353B4" w:rsidRPr="00A4384F">
        <w:rPr>
          <w:rFonts w:ascii="Arial" w:eastAsia="Helvetica" w:hAnsi="Arial" w:cs="Arial"/>
          <w:sz w:val="20"/>
          <w:szCs w:val="20"/>
        </w:rPr>
        <w:t>”</w:t>
      </w:r>
      <w:r w:rsidRPr="00A4384F">
        <w:rPr>
          <w:rFonts w:ascii="Arial" w:eastAsia="Helvetica" w:hAnsi="Arial" w:cs="Arial"/>
          <w:sz w:val="20"/>
          <w:szCs w:val="20"/>
        </w:rPr>
        <w:t>, w skład którego wchodzą policjanci, w szczególności zajmujący stanowiska kierownicze w służbie prewencyjnej i kryminalnej oraz policjant odpowiedzialny za organizację służby patrolowej.</w:t>
      </w:r>
    </w:p>
    <w:p w14:paraId="07298A4C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5. Zastępca komendanta jednostki nadzorujący służbę kryminalną, na wniosek koordynatora, zapewnia odpowiednią ilość podległych sił i środków w celu skutecznej realizacji działań zewnętrznych.</w:t>
      </w:r>
    </w:p>
    <w:p w14:paraId="475ACB6C" w14:textId="7A7E79E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11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Do głównych zadań zespołu należy:</w:t>
      </w:r>
    </w:p>
    <w:p w14:paraId="013AC707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 xml:space="preserve">1) uzyskiwanie informacji od podmiotów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pozapolicyjnych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>, w ramach bezpośrednich kontaktów, na potrzeby realizowanych zadań;</w:t>
      </w:r>
    </w:p>
    <w:p w14:paraId="46F21462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przekazywanie koordynatorowi informacji o stanie bezpieczeństwa i oczekiwaniach społecznych;</w:t>
      </w:r>
    </w:p>
    <w:p w14:paraId="5004E053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organizacja spotkań przedstawicieli komórek organizacyjnych służby prewencyjnej i kryminalnej w celu wymiany informacji oraz określania kierunków działania;</w:t>
      </w:r>
    </w:p>
    <w:p w14:paraId="661EA498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informowanie koordynatora o stanie realizacji zadań;</w:t>
      </w:r>
    </w:p>
    <w:p w14:paraId="409D5042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lastRenderedPageBreak/>
        <w:t>5) analiza efektów i jakości prowadzonych działań;</w:t>
      </w:r>
    </w:p>
    <w:p w14:paraId="6E1CC32C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6) prowadzenie wspólnych szkoleń w ramach doskonalenia zawodowego w celu wymiany wiedzy i doświadczeń pomiędzy służbami;</w:t>
      </w:r>
    </w:p>
    <w:p w14:paraId="60786EF6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7) kreowanie postaw prospołecznych wśród policjantów.</w:t>
      </w:r>
    </w:p>
    <w:p w14:paraId="0745B680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Do zadań zespołu w komendzie powiatowej Policji należą zadania, o których mowa w ust. 1 oraz:</w:t>
      </w:r>
    </w:p>
    <w:p w14:paraId="18770BE4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przygotowywanie analiz stanu bezpieczeństwa i porządku publicznego na potrzeby tworzenia zintegrowanych planów dyslokacji służby;</w:t>
      </w:r>
    </w:p>
    <w:p w14:paraId="2A0FF6EE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tworzenie planów dyslokacji służby;</w:t>
      </w:r>
    </w:p>
    <w:p w14:paraId="4180DEC7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określenie taktyki pełnienia służby i podziału zadań;</w:t>
      </w:r>
    </w:p>
    <w:p w14:paraId="07EF5BBA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bieżący nadzór nad realizacją zadań w terenie, w tym udzielanie pomocy i instruktażu;</w:t>
      </w:r>
    </w:p>
    <w:p w14:paraId="049EA379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5) udział w odprawach policjantów przewidzianych do działań zewnętrznych;</w:t>
      </w:r>
    </w:p>
    <w:p w14:paraId="54F21593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6) zmiana dyslokacji służby w zależności od bieżących potrzeb.</w:t>
      </w:r>
    </w:p>
    <w:p w14:paraId="66328037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Przepisy ust. 2 stosuje się odpowiednio w odniesieniu do zespołu w komisariacie Policji.</w:t>
      </w:r>
    </w:p>
    <w:p w14:paraId="1E796A82" w14:textId="6A51BD7D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12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W granicach właściwości terytorialnej komendy powiatowej Policji można organizować wspólne patrole przemieszczające się pojazdami służbowymi przez rejony służbowe kilku komisariatów lub posterunków Policji.</w:t>
      </w:r>
    </w:p>
    <w:p w14:paraId="32F7C156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W uzasadnionych sytuacjach można organizować wspólne patrole, w tym przemieszczające się pojazdami służbowymi przez rejony służbowe kilku komisariatów lub posterunków Policji znajdujących się w granicach właściwości terytorialnej różnych komend powiatowych Policji.</w:t>
      </w:r>
    </w:p>
    <w:p w14:paraId="65C0DE5A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W sytuacji określonej w ust. 2 komendanci powiatowi Policji pisemnie uzgadniają warunki współpracy.</w:t>
      </w:r>
    </w:p>
    <w:p w14:paraId="331F01EE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4. Służbę patrolową policjanci pełnią samodzielnie lub wspólnie ze strażnikami straży gminnej lub miejskiej, z żołnierzami Żandarmerii Wojskowej, funkcjonariuszami Straży Granicznej, funkcjonariuszami Straży Ochrony Kolei, przedstawicielami instytucji i organizacji społecznych działających na rzecz zapobiegania popełnianiu przestępstw i wykroczeń oraz innych podmiotów realizujących zadania w zakresie bezpieczeństwa i porządku w określonych miejscach - na zasadach określonych w odrębnych przepisach.</w:t>
      </w:r>
    </w:p>
    <w:p w14:paraId="4799DC21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5. Służba patrolowa w strefie nadgranicznej może być pełniona przez patrole w składzie międzynarodowym na zasadach określonych w umowach międzynarodowych.</w:t>
      </w:r>
    </w:p>
    <w:p w14:paraId="749EC191" w14:textId="5CDF6210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13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Pr="00A4384F">
        <w:rPr>
          <w:rFonts w:ascii="Arial" w:eastAsia="Helvetica" w:hAnsi="Arial" w:cs="Arial"/>
          <w:sz w:val="20"/>
          <w:szCs w:val="20"/>
        </w:rPr>
        <w:t xml:space="preserve"> Służbę patrolową można organizować w formie posterunków stałych lub doraźnych:</w:t>
      </w:r>
    </w:p>
    <w:p w14:paraId="0974C0E1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w miejscach lub przy obiektach podlegających szczególnej ochronie, np. ambasady, konsulaty;</w:t>
      </w:r>
    </w:p>
    <w:p w14:paraId="5F182C1D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w rejonach odległych od jednostek Policji, które zagrożone są przestępczością lub wykroczeniami;</w:t>
      </w:r>
    </w:p>
    <w:p w14:paraId="3D612D1A" w14:textId="77777777" w:rsidR="00B074C8" w:rsidRDefault="00000000">
      <w:pPr>
        <w:spacing w:before="130" w:after="130" w:line="240" w:lineRule="auto"/>
        <w:ind w:left="220"/>
        <w:jc w:val="both"/>
        <w:rPr>
          <w:rFonts w:ascii="Arial" w:eastAsia="Helvetica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gdy jest to uzasadnione potrzebami służby.</w:t>
      </w:r>
    </w:p>
    <w:p w14:paraId="6134352F" w14:textId="77777777" w:rsidR="00564825" w:rsidRPr="00A4384F" w:rsidRDefault="00564825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</w:p>
    <w:p w14:paraId="6D51CE1B" w14:textId="066933C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14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Służba patrolowa pełniona jest na podstawie planu dyslokacji służby.</w:t>
      </w:r>
    </w:p>
    <w:p w14:paraId="765CD006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Plan dyslokacji służby sporządza się, uwzględniając wszystkie komórki komendy powiatowej Policji, a także jednostki podległe, których policjanci pełnią służbę obchodową i patrolową, w tym komórki ruchu drogowego.</w:t>
      </w:r>
    </w:p>
    <w:p w14:paraId="61A57DE0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 xml:space="preserve">3. W planie dyslokacji służby w miarę możliwości należy uwzględnić siły podmiotów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pozapolicyjnych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 xml:space="preserve"> oraz siły wzmocnienia.</w:t>
      </w:r>
    </w:p>
    <w:p w14:paraId="79C716C1" w14:textId="29B15D63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15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Analiza stanu bezpieczeństwa i porządku na potrzeby dyslokacji służby patrolowej, zwana dalej</w:t>
      </w:r>
      <w:r w:rsidR="00C97729">
        <w:rPr>
          <w:rFonts w:ascii="Arial" w:eastAsia="Helvetica" w:hAnsi="Arial" w:cs="Arial"/>
          <w:sz w:val="20"/>
          <w:szCs w:val="20"/>
        </w:rPr>
        <w:t xml:space="preserve"> „</w:t>
      </w:r>
      <w:r w:rsidRPr="00A4384F">
        <w:rPr>
          <w:rFonts w:ascii="Arial" w:eastAsia="Helvetica" w:hAnsi="Arial" w:cs="Arial"/>
          <w:sz w:val="20"/>
          <w:szCs w:val="20"/>
        </w:rPr>
        <w:t>analizą</w:t>
      </w:r>
      <w:r w:rsidR="00C97729">
        <w:rPr>
          <w:rFonts w:ascii="Arial" w:eastAsia="Helvetica" w:hAnsi="Arial" w:cs="Arial"/>
          <w:sz w:val="20"/>
          <w:szCs w:val="20"/>
        </w:rPr>
        <w:t>”</w:t>
      </w:r>
      <w:r w:rsidRPr="00A4384F">
        <w:rPr>
          <w:rFonts w:ascii="Arial" w:eastAsia="Helvetica" w:hAnsi="Arial" w:cs="Arial"/>
          <w:sz w:val="20"/>
          <w:szCs w:val="20"/>
        </w:rPr>
        <w:t>, powinna opierać się na ocenie i monitorowaniu poszczególnych czynników mających wpływ na ten stan, w tym w szczególności:</w:t>
      </w:r>
    </w:p>
    <w:p w14:paraId="65C0D9AE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ilości oraz rodzaju popełnionych przestępstw i wykroczeń;</w:t>
      </w:r>
    </w:p>
    <w:p w14:paraId="326BD3E2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lastRenderedPageBreak/>
        <w:t>2) miejsca i czasu popełnionych przestępstw i wykroczeń oraz zgłaszanych interwencji;</w:t>
      </w:r>
    </w:p>
    <w:p w14:paraId="6DAC5F9D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sposobu działania sprawców;</w:t>
      </w:r>
    </w:p>
    <w:p w14:paraId="08DCF410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okoliczności i warunków sprzyjających dokonywaniu przestępstw i wykroczeń;</w:t>
      </w:r>
    </w:p>
    <w:p w14:paraId="1F8BBE31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5) rozpoznania dokonanego przez służby Policji;</w:t>
      </w:r>
    </w:p>
    <w:p w14:paraId="4F0C1001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6) prawidłowości dotychczasowego rozmieszczenia sił i środków oraz ich efektywności;</w:t>
      </w:r>
    </w:p>
    <w:p w14:paraId="1CCEC4AA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7) rozpoznania obiektów strzeżonych, istotnych ze względu na ważny interes społeczny oraz bezpieczeństwo publiczne;</w:t>
      </w:r>
    </w:p>
    <w:p w14:paraId="435B807B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8) bieżących i okresowych informacji na temat poziomu poczucia bezpieczeństwa, opartych na opiniach społeczności lokalnej;</w:t>
      </w:r>
    </w:p>
    <w:p w14:paraId="285CB68B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9)</w:t>
      </w:r>
      <w:r w:rsidRPr="00A4384F">
        <w:rPr>
          <w:rStyle w:val="Odwoanieprzypisudolnego"/>
          <w:rFonts w:ascii="Arial" w:hAnsi="Arial" w:cs="Arial"/>
          <w:sz w:val="20"/>
          <w:szCs w:val="20"/>
        </w:rPr>
        <w:footnoteReference w:id="7"/>
      </w:r>
      <w:r w:rsidRPr="00A4384F">
        <w:rPr>
          <w:rFonts w:ascii="Arial" w:eastAsia="Helvetica" w:hAnsi="Arial" w:cs="Arial"/>
          <w:sz w:val="20"/>
          <w:szCs w:val="20"/>
        </w:rPr>
        <w:t xml:space="preserve"> zagrożeń naniesionych na Krajową Mapę Zagrożeń Bezpieczeństwa, w tym w szczególności potwierdzonych.</w:t>
      </w:r>
    </w:p>
    <w:p w14:paraId="07D3AD65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Analiza powinna zawierać wnioski wraz z opisem przewidywanych zagrożeń, wskazywać cel, jaki należy uzyskać, pełniąc służbę i określać taktykę działania patroli policyjnych w wyznaczonym rejonie.</w:t>
      </w:r>
    </w:p>
    <w:p w14:paraId="5EAFA653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Analizę należy sporządzać nie rzadziej, niż raz w miesiącu.</w:t>
      </w:r>
    </w:p>
    <w:p w14:paraId="138CA58E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4.</w:t>
      </w:r>
      <w:r w:rsidRPr="00A4384F">
        <w:rPr>
          <w:rStyle w:val="Odwoanieprzypisudolnego"/>
          <w:rFonts w:ascii="Arial" w:hAnsi="Arial" w:cs="Arial"/>
          <w:sz w:val="20"/>
          <w:szCs w:val="20"/>
        </w:rPr>
        <w:footnoteReference w:id="8"/>
      </w:r>
      <w:r w:rsidRPr="00A4384F">
        <w:rPr>
          <w:rFonts w:ascii="Arial" w:eastAsia="Helvetica" w:hAnsi="Arial" w:cs="Arial"/>
          <w:sz w:val="20"/>
          <w:szCs w:val="20"/>
        </w:rPr>
        <w:t xml:space="preserve"> Uzyskane w toku analizy informacje, wskazujące na występowanie czynników sprzyjających dokonywaniu przestępstw, wykroczeń oraz zagrożeń, za eliminację których odpowiedzialne są również inne podmioty, przekazuje się niezwłocznie w formie pisemnej tym podmiotom zgodnie z ich właściwością.</w:t>
      </w:r>
    </w:p>
    <w:p w14:paraId="4FB94783" w14:textId="0E8D3361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16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Komendant powiatowy Policji w celu zapewnienia gotowości służb jednostki Policji do natychmiastowych działań na rzecz ochrony bezpieczeństwa i porządku może tworzyć komórki interwencyjne.</w:t>
      </w:r>
    </w:p>
    <w:p w14:paraId="11F95844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Policjanci komórek interwencyjnych pozostają w stałej dyspozycji dyżurnego jednostki Policji lub innej uprawnionej osoby, która dysponuje nimi stosownie do potrzeb.</w:t>
      </w:r>
    </w:p>
    <w:p w14:paraId="25BBDCDB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Policjanci komórek interwencyjnych patrolują określony rejon zagrożony lub przebywają w określonym miejscu zagrożonym, chyba że osoba wymieniona w ust. 2 wydała im inne polecenia.</w:t>
      </w:r>
    </w:p>
    <w:p w14:paraId="33148138" w14:textId="59F8C6C9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17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Pr="00A4384F">
        <w:rPr>
          <w:rFonts w:ascii="Arial" w:eastAsia="Helvetica" w:hAnsi="Arial" w:cs="Arial"/>
          <w:sz w:val="20"/>
          <w:szCs w:val="20"/>
        </w:rPr>
        <w:t xml:space="preserve"> Do zadań policjantów komórek interwencyjnych należy w szczególności:</w:t>
      </w:r>
    </w:p>
    <w:p w14:paraId="34AE1C02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przybycie na miejsce wydarzenia w możliwie najkrótszym czasie od momentu przyjęcia zgłoszenia;</w:t>
      </w:r>
    </w:p>
    <w:p w14:paraId="16754A54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prowadzenie działań zmierzających do ustalenia i zatrzymania osób podejrzewanych o popełnienie czynu zabronionego i zabezpieczenie miejsca wydarzenia;</w:t>
      </w:r>
    </w:p>
    <w:p w14:paraId="2CB12493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podejmowanie działań mających na celu zapobieganie zdarzeniom naruszającym bezpieczeństwo i porządek publiczny, a w przypadku ich wystąpienia podjęcie natychmiastowych działań zmierzających do jego przywrócenia;</w:t>
      </w:r>
    </w:p>
    <w:p w14:paraId="22D4EDC0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podejmowanie działań porządkowych oraz innych określonych w odrębnych przepisach w czasie pożarów, katastrof komunikacyjnych i budowlanych, powodzi i innych klęsk żywiołowych;</w:t>
      </w:r>
    </w:p>
    <w:p w14:paraId="5DB1AA20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5) podejmowanie działań pościgowych, określonych odrębnymi przepisami, za sprawcami przestępstw i wykroczeń zbiegłymi z miejsca wydarzenia;</w:t>
      </w:r>
    </w:p>
    <w:p w14:paraId="03D8837E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6) udzielanie w razie potrzeby natychmiastowej pomocy innym policjantom oraz osobom również przy udziale innych powołanych do tego celu podmiotów.</w:t>
      </w:r>
    </w:p>
    <w:p w14:paraId="24392189" w14:textId="37EEEFDA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18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Pr="00A4384F">
        <w:rPr>
          <w:rFonts w:ascii="Arial" w:eastAsia="Helvetica" w:hAnsi="Arial" w:cs="Arial"/>
          <w:sz w:val="20"/>
          <w:szCs w:val="20"/>
        </w:rPr>
        <w:t xml:space="preserve"> Komendant powiatowy Policji na podstawie wniosków z analiz, zgodnie z obowiązującymi w tym zakresie przepisami, może tworzyć komórki wywiadowcze lub organizować służbę policjantów komórek patrolowych bez umundurowania.</w:t>
      </w:r>
    </w:p>
    <w:p w14:paraId="3EC8576A" w14:textId="64744813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19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Pr="00A4384F">
        <w:rPr>
          <w:rFonts w:ascii="Arial" w:eastAsia="Helvetica" w:hAnsi="Arial" w:cs="Arial"/>
          <w:sz w:val="20"/>
          <w:szCs w:val="20"/>
        </w:rPr>
        <w:t xml:space="preserve"> Do zadań policjantów, o których mowa w § 18, należy w szczególności:</w:t>
      </w:r>
    </w:p>
    <w:p w14:paraId="26CE64C3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lastRenderedPageBreak/>
        <w:t>1) rozpoznanie środowisk przestępczych i metod ich działania;</w:t>
      </w:r>
    </w:p>
    <w:p w14:paraId="56FC4BDA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zapobieganie popełnianiu przestępstw i wykroczeń;</w:t>
      </w:r>
    </w:p>
    <w:p w14:paraId="27F6E12F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ujawnianie przestępstw i wykroczeń oraz zatrzymywanie ich sprawców na gorącym uczynku lub w bezpośrednim pościgu.</w:t>
      </w:r>
    </w:p>
    <w:p w14:paraId="45298CA2" w14:textId="5BFDDE7D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20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Pr="00A4384F">
        <w:rPr>
          <w:rFonts w:ascii="Arial" w:eastAsia="Helvetica" w:hAnsi="Arial" w:cs="Arial"/>
          <w:sz w:val="20"/>
          <w:szCs w:val="20"/>
        </w:rPr>
        <w:t xml:space="preserve"> Policjanci komórek wywiadowczych z zasady pełnią służbę patrolową bez umundurowania, wykorzystując w trakcie jej trwania podstawowe metody pracy operacyjno-rozpoznawczej.</w:t>
      </w:r>
    </w:p>
    <w:p w14:paraId="6986F6A6" w14:textId="4C889B73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21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Policjanci oddziałów prewencji Policji za zgodą komendanta wojewódzkiego lub Stołecznego Policji pełnią służbę patrolową na terenie działania komend powiatowych Policji, jako siły wzmocnienia.</w:t>
      </w:r>
    </w:p>
    <w:p w14:paraId="79B13B95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Służbę patrolową pełnioną przez policjantów oddziałów prewencji Policji organizuje się według następujących zasad:</w:t>
      </w:r>
    </w:p>
    <w:p w14:paraId="1F47B7F2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dowódca oddziału prewencji Policji wyznacza policjantów do pełnienia służby patrolowej;</w:t>
      </w:r>
    </w:p>
    <w:p w14:paraId="1D687949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jednostka terenowa wspierana przez oddział prewencji Policji obowiązana jest przygotować ceduły patrolowe oraz w uzgodnieniu z dowódcą określić taktykę pełnienia służby umożliwiającą efektywne jej wykonanie;</w:t>
      </w:r>
    </w:p>
    <w:p w14:paraId="4C01AC1A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odprawę do służby patrolowej i rozliczanie ze służby przeprowadza się na terenie działania tej jednostki Policji, gdzie policjanci mają pełnić służbę. Za prawidłowy przebieg odprawy i rozliczenie ze służby odpowiedzialny jest kierownik tej jednostki Policji;</w:t>
      </w:r>
    </w:p>
    <w:p w14:paraId="77343F54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za sposób pełnienia służby patrolowej przez policjantów oddziałów prewencji Policji w rejonie wyznaczonego działania oraz realizację zleconych zadań odpowiedzialny jest ich bezpośredni przełożony lub kierownik jednostki Policji, na terenie której pełniona jest służba;</w:t>
      </w:r>
    </w:p>
    <w:p w14:paraId="2A6E6A36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5) pododdziały prewencji Policji kierowane do służby patrolowej mogą posiadać na swoim wyposażeniu dodatkowo sprzęt do działań przywracających naruszony porządek publiczny, bez środków wzmocnienia, o których mowa w odrębnych przepisach.</w:t>
      </w:r>
    </w:p>
    <w:p w14:paraId="68ED5449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Policjanci pododdziałów alarmowych pełnią służbę patrolową wyłącznie na terenie miasta będącego siedzibą oddziału prewencji Policji lub miejscowości pobliskiej. Służba pełniona jest w systemie koncentrycznym.</w:t>
      </w:r>
    </w:p>
    <w:p w14:paraId="73C756F9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4. Najmniejszą komórką organizacyjną samodzielnie kierowaną do służby patrolowej, w skład której wchodzą policjanci służby kandydackiej jest etatowa drużyna pod nadzorem bezpośrednich przełożonych.</w:t>
      </w:r>
    </w:p>
    <w:p w14:paraId="2E70909C" w14:textId="5CA8204E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22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Komendant powiatowy Policji organizację pełnienia służby patrolowej może opierać na: rejonach zagrożenia, rejonach odpowiedzialności, miejscach zagrożonych, rejonach dzielnicowych lub innych wskazanych rejonach.</w:t>
      </w:r>
    </w:p>
    <w:p w14:paraId="2F688A96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Ceduły patrolowe opracowuje się odrębnie dla patroli pieszych i patroli wykorzystujących środki transportu.</w:t>
      </w:r>
    </w:p>
    <w:p w14:paraId="58997522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Ceduła patrolowa składa się z:</w:t>
      </w:r>
    </w:p>
    <w:p w14:paraId="122F6EA0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części stałej zawierającej:</w:t>
      </w:r>
    </w:p>
    <w:p w14:paraId="40B3985D" w14:textId="77777777" w:rsidR="00B074C8" w:rsidRPr="00A4384F" w:rsidRDefault="00000000">
      <w:pPr>
        <w:spacing w:before="130" w:after="130" w:line="240" w:lineRule="auto"/>
        <w:ind w:left="44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a) oznaczenie dokumentu,</w:t>
      </w:r>
    </w:p>
    <w:p w14:paraId="44E8F004" w14:textId="77777777" w:rsidR="00B074C8" w:rsidRPr="00A4384F" w:rsidRDefault="00000000">
      <w:pPr>
        <w:spacing w:before="130" w:after="130" w:line="240" w:lineRule="auto"/>
        <w:ind w:left="44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b) szkic graficzny rejonu z naniesionymi obiektami podlegającymi obowiązkowej ochronie, posterunkami stałymi, punktami blokadowymi, trasą patrolowania,</w:t>
      </w:r>
    </w:p>
    <w:p w14:paraId="374CA730" w14:textId="77777777" w:rsidR="00B074C8" w:rsidRPr="00A4384F" w:rsidRDefault="00000000">
      <w:pPr>
        <w:spacing w:before="130" w:after="130" w:line="240" w:lineRule="auto"/>
        <w:ind w:left="44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c) wykaz podstawowych aktów prawnych normujących użycie lub wykorzystanie broni palnej, środków przymusu bezpośredniego oraz uprawnienia policjanta,</w:t>
      </w:r>
    </w:p>
    <w:p w14:paraId="12B6BF32" w14:textId="77777777" w:rsidR="00B074C8" w:rsidRPr="00A4384F" w:rsidRDefault="00000000">
      <w:pPr>
        <w:spacing w:before="130" w:after="130" w:line="240" w:lineRule="auto"/>
        <w:ind w:left="44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d) dane dotyczące utrzymania łączności radiowej,</w:t>
      </w:r>
    </w:p>
    <w:p w14:paraId="07D1A414" w14:textId="77777777" w:rsidR="00B074C8" w:rsidRPr="00A4384F" w:rsidRDefault="00000000">
      <w:pPr>
        <w:spacing w:before="130" w:after="130" w:line="240" w:lineRule="auto"/>
        <w:ind w:left="44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e) wykaz danych teleadresowych ważniejszych instytucji,</w:t>
      </w:r>
    </w:p>
    <w:p w14:paraId="10904E9D" w14:textId="77777777" w:rsidR="00B074C8" w:rsidRPr="00A4384F" w:rsidRDefault="00000000">
      <w:pPr>
        <w:spacing w:before="130" w:after="130" w:line="240" w:lineRule="auto"/>
        <w:ind w:left="44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f) informację o dzielnicowym obsługującym dany rejon;</w:t>
      </w:r>
    </w:p>
    <w:p w14:paraId="0B248B1F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lastRenderedPageBreak/>
        <w:t>2) części wymiennej zawierającej:</w:t>
      </w:r>
    </w:p>
    <w:p w14:paraId="13F9CC93" w14:textId="77777777" w:rsidR="00B074C8" w:rsidRPr="00A4384F" w:rsidRDefault="00000000">
      <w:pPr>
        <w:spacing w:before="130" w:after="130" w:line="240" w:lineRule="auto"/>
        <w:ind w:left="44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a) wykaz miejsc i rejonów zagrożonych, uwzględniający czas i rodzaj występujących zagrożeń,</w:t>
      </w:r>
    </w:p>
    <w:p w14:paraId="7129F299" w14:textId="77777777" w:rsidR="00B074C8" w:rsidRPr="00A4384F" w:rsidRDefault="00000000">
      <w:pPr>
        <w:spacing w:before="130" w:after="130" w:line="240" w:lineRule="auto"/>
        <w:ind w:left="44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b) zadania doraźne do służby, np. wynikające z prowadzonych programów, akcji, operacji,</w:t>
      </w:r>
    </w:p>
    <w:p w14:paraId="714CD78F" w14:textId="77777777" w:rsidR="00B074C8" w:rsidRPr="00A4384F" w:rsidRDefault="00000000">
      <w:pPr>
        <w:spacing w:before="130" w:after="130" w:line="240" w:lineRule="auto"/>
        <w:ind w:left="44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c) wykaz osób poszukiwanych w trybie nadzwyczajnym wraz z dokumentacją fotograficzną,</w:t>
      </w:r>
    </w:p>
    <w:p w14:paraId="2BF66C15" w14:textId="77777777" w:rsidR="00B074C8" w:rsidRPr="00A4384F" w:rsidRDefault="00000000">
      <w:pPr>
        <w:spacing w:before="130" w:after="130" w:line="240" w:lineRule="auto"/>
        <w:ind w:left="44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d) inne istotne dane niezbędne do właściwej realizacji zadań jednostki.</w:t>
      </w:r>
    </w:p>
    <w:p w14:paraId="279D2118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4.</w:t>
      </w:r>
      <w:r w:rsidRPr="00A4384F">
        <w:rPr>
          <w:rStyle w:val="Odwoanieprzypisudolnego"/>
          <w:rFonts w:ascii="Arial" w:hAnsi="Arial" w:cs="Arial"/>
          <w:sz w:val="20"/>
          <w:szCs w:val="20"/>
        </w:rPr>
        <w:footnoteReference w:id="9"/>
      </w:r>
      <w:r w:rsidRPr="00A4384F">
        <w:rPr>
          <w:rFonts w:ascii="Arial" w:eastAsia="Helvetica" w:hAnsi="Arial" w:cs="Arial"/>
          <w:sz w:val="20"/>
          <w:szCs w:val="20"/>
        </w:rPr>
        <w:t xml:space="preserve"> W przypadku e-Ceduły dane, o których mowa w ust. 3, nanoszone są zgodnie z funkcjonalnościami systemów teleinformatycznych Policji, w których jest prowadzona.</w:t>
      </w:r>
    </w:p>
    <w:p w14:paraId="520B69CA" w14:textId="38EC278E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23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Pr="00A4384F">
        <w:rPr>
          <w:rFonts w:ascii="Arial" w:eastAsia="Helvetica" w:hAnsi="Arial" w:cs="Arial"/>
          <w:sz w:val="20"/>
          <w:szCs w:val="20"/>
        </w:rPr>
        <w:t xml:space="preserve"> Organizacja pełnienia służby patrolowej na podstawie rejonów i miejsc, o których mowa w § 22 ust. 1, polega w szczególności na:</w:t>
      </w:r>
    </w:p>
    <w:p w14:paraId="1AE63C95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obejmowaniu patrolowaniem wybranych rejonów i miejsc oraz dostosowaniu do nich form i taktyki pełnienia służby;</w:t>
      </w:r>
    </w:p>
    <w:p w14:paraId="0DAEDD93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koordynowaniu i dostosowywaniu liczby policjantów kierowanych do służby patrolowej do istniejącego stanu zagrożenia w określonym czasie i wskazanych miejscach;</w:t>
      </w:r>
    </w:p>
    <w:p w14:paraId="087701C9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kierowaniu do poszczególnych miejsc i rejonów, w miarę możliwości, tych samych policjantów;</w:t>
      </w:r>
    </w:p>
    <w:p w14:paraId="588C2408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współpracy ze strażami miejskimi lub gminnymi, Żandarmerią Wojskową, Strażą Graniczną, Strażą Ochrony Kolei i innymi podmiotami powołanymi do zapewnienia bezpieczeństwa i porządku, w zakresie i na zasadach określonych w odrębnych przepisach oraz porozumieniach.</w:t>
      </w:r>
    </w:p>
    <w:p w14:paraId="134F2099" w14:textId="77777777" w:rsidR="00B074C8" w:rsidRPr="00A4384F" w:rsidRDefault="00000000" w:rsidP="00564825">
      <w:pPr>
        <w:suppressAutoHyphens/>
        <w:spacing w:before="360" w:after="360" w:line="240" w:lineRule="auto"/>
        <w:jc w:val="center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caps/>
          <w:sz w:val="20"/>
          <w:szCs w:val="20"/>
        </w:rPr>
        <w:t>Rozdział 3. Pełnienie służby patrolowej</w:t>
      </w:r>
    </w:p>
    <w:p w14:paraId="3716720F" w14:textId="1DD63BD1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24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Kierownik komórki właściwej do spraw służby patrolowej lub inny uprawniony policjant dokonuje bieżącego rozmieszczenia sił policyjnych na podległym terenie, dokumentując ten fakt w Systemie Wspomagania Dowodzenia.</w:t>
      </w:r>
    </w:p>
    <w:p w14:paraId="732276EC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W przypadku trudności organizacyjno-technicznych dopuszcza się możliwość dokumentowania czynności, o których mowa w ust. 1, w innej formie, spełniającej wymogi kancelaryjne, przy czym zastosowane rozwiązania muszą zapewnić czytelność i kompletność danych.</w:t>
      </w:r>
    </w:p>
    <w:p w14:paraId="09AF0418" w14:textId="6154AD82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25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Przygotowanie policjantów do służby patrolowej sprawdza się na odprawach lub indywidualnie.</w:t>
      </w:r>
    </w:p>
    <w:p w14:paraId="1A3CCA76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Odprawę przeprowadza bezpośredni przełożony policjanta lub inny policjant wyznaczony przez kierownika jednostki Policji posiadający odpowiednią wiedzę i doświadczenie zawodowe, szczególnie z zakresu służby prewencyjnej.</w:t>
      </w:r>
    </w:p>
    <w:p w14:paraId="292FDE1F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Odprawa powinna mieć charakter krótkiego przekazu informacji, w miarę możliwości z wykorzystaniem prezentacji multimedialnych, dotyczącego konkretnych informacji o bieżącej sytuacji związanej ze stanem bezpieczeństwa w rejonie.</w:t>
      </w:r>
    </w:p>
    <w:p w14:paraId="2C690927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4. Odprawa powinna wpływać na wzrost poziomu wiedzy i umiejętności policjantów.</w:t>
      </w:r>
    </w:p>
    <w:p w14:paraId="5490F85B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5. W odprawie powinien uczestniczyć policjant służby kryminalnej, który udziela informacji niezbędnych do realizacji działań zewnętrznych, w tym dotyczących współpracy w celu wykrycia sprawców przestępstw i wykroczeń.</w:t>
      </w:r>
    </w:p>
    <w:p w14:paraId="58949712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6. W sytuacjach szczególnie uzasadnionych dopuszcza się przekazanie informacji, o których mowa w ust. 5, przez prowadzącego odprawę.</w:t>
      </w:r>
    </w:p>
    <w:p w14:paraId="5774697A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7. W sytuacjach szczególnie uzasadnionych bez odprawy mogą rozpoczynać służbę patrolową tylko policjanci posiadający odpowiednie doświadczenie zawodowe w zakresie służby prewencyjnej, którzy uzyskali w tym zakresie zgodę bezpośredniego przełożonego.</w:t>
      </w:r>
    </w:p>
    <w:p w14:paraId="27FF424A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lastRenderedPageBreak/>
        <w:t>8.</w:t>
      </w:r>
      <w:r w:rsidRPr="00A4384F">
        <w:rPr>
          <w:rStyle w:val="Odwoanieprzypisudolnego"/>
          <w:rFonts w:ascii="Arial" w:hAnsi="Arial" w:cs="Arial"/>
          <w:sz w:val="20"/>
          <w:szCs w:val="20"/>
        </w:rPr>
        <w:footnoteReference w:id="10"/>
      </w:r>
      <w:r w:rsidRPr="00A4384F">
        <w:rPr>
          <w:rFonts w:ascii="Arial" w:eastAsia="Helvetica" w:hAnsi="Arial" w:cs="Arial"/>
          <w:sz w:val="20"/>
          <w:szCs w:val="20"/>
        </w:rPr>
        <w:t xml:space="preserve"> W sytuacjach, o których mowa w ust. 7 policjant zgłasza rozpoczęcie i zakończenie pełnienia służby policjantowi odpowiedzialnemu za nadzór nad przebiegiem służby w jednostce nadrzędnej lub dyżurnemu tej jednostki, w zależności od przyjętych rozwiązań organizacyjnych. Fakt ten należy odnotować w Systemie Wspomagania Dowodzenia lub innej dokumentacji dotyczącej organizacji służby oraz notatniku służbowym policjanta. Zapis zawiera w szczególności: wskazanie stopnia, imienia, nazwiska oraz funkcji przyjmującego informację, uzyskane informacje oraz zadania.</w:t>
      </w:r>
    </w:p>
    <w:p w14:paraId="069EE9FA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9.</w:t>
      </w:r>
      <w:r w:rsidRPr="00A4384F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Pr="00A4384F">
        <w:rPr>
          <w:rFonts w:ascii="Arial" w:eastAsia="Helvetica" w:hAnsi="Arial" w:cs="Arial"/>
          <w:sz w:val="20"/>
          <w:szCs w:val="20"/>
        </w:rPr>
        <w:t xml:space="preserve"> Przebieg służby patrolowej policjanci dokumentują w notatnikach służbowych. W przypadku dokumentowania przebiegu służby w e-Notatniku, w razie stwierdzenia braku dostępu lub przerw w funkcjonowaniu tych systemów lub urządzenia końcowego, policjant dokumentuje czynności w formie papierowej. Zapisy te przenosi się do e-Notatnika niezwłocznie po ustąpieniu przyczyny ich dokonania.</w:t>
      </w:r>
    </w:p>
    <w:p w14:paraId="4A2C4A39" w14:textId="798343F0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26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Obowiązkiem prowadzącego odprawę policjantów do służby patrolowej jest:</w:t>
      </w:r>
    </w:p>
    <w:p w14:paraId="20283730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zapoznanie policjantów z aktualnymi wydarzeniami zaistniałymi w rejonie jednostki i poleceniami kierownictwa, a także przekazanie zadań doraźnych oraz określenie sposobu ich wykonania i taktyki działania;</w:t>
      </w:r>
    </w:p>
    <w:p w14:paraId="41D9F50B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wskazanie rejonów i czasu pełnienia w nich służby oraz miejsc i czasu przerw w służbie;</w:t>
      </w:r>
    </w:p>
    <w:p w14:paraId="619A8135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przydzielenie ceduł patrolowych;</w:t>
      </w:r>
    </w:p>
    <w:p w14:paraId="7F5BC2C4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określenie składu patrolu oraz wyznaczenie dowódcy w przypadku patroli wieloosobowych;</w:t>
      </w:r>
    </w:p>
    <w:p w14:paraId="7E4BC459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 xml:space="preserve">5) przekazanie informacji dotyczących dyslokacji sił policyjnych oraz, i w miarę możliwości, sił podmiotów </w:t>
      </w:r>
      <w:proofErr w:type="spellStart"/>
      <w:r w:rsidRPr="00A4384F">
        <w:rPr>
          <w:rFonts w:ascii="Arial" w:eastAsia="Helvetica" w:hAnsi="Arial" w:cs="Arial"/>
          <w:sz w:val="20"/>
          <w:szCs w:val="20"/>
        </w:rPr>
        <w:t>pozapolicyjnych</w:t>
      </w:r>
      <w:proofErr w:type="spellEnd"/>
      <w:r w:rsidRPr="00A4384F">
        <w:rPr>
          <w:rFonts w:ascii="Arial" w:eastAsia="Helvetica" w:hAnsi="Arial" w:cs="Arial"/>
          <w:sz w:val="20"/>
          <w:szCs w:val="20"/>
        </w:rPr>
        <w:t xml:space="preserve"> realizujących zadania w rejonie pełnienia służby i bezpośrednio przyległym;</w:t>
      </w:r>
    </w:p>
    <w:p w14:paraId="3BB880F2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6) określenie i sprawdzenie wyposażenia i uzbrojenia indywidualnego policjantów stosownego do charakteru, czasu i sposobu wykonywanej służby oraz jednolitego umundurowania, zgodnego z obowiązującymi przepisami;</w:t>
      </w:r>
    </w:p>
    <w:p w14:paraId="30378C12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7) przypomnienie o zasadach zachowania bezpieczeństwa przez policjantów podczas wykonywania zadań;</w:t>
      </w:r>
    </w:p>
    <w:p w14:paraId="5E05654E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7a)</w:t>
      </w:r>
      <w:r w:rsidRPr="00A4384F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A4384F">
        <w:rPr>
          <w:rFonts w:ascii="Arial" w:eastAsia="Helvetica" w:hAnsi="Arial" w:cs="Arial"/>
          <w:sz w:val="20"/>
          <w:szCs w:val="20"/>
        </w:rPr>
        <w:t xml:space="preserve"> przekazanie informacji dotyczącej obowiązującego hasła pomocniczego, umożliwiającego identyfikację nieumundurowanych policjantów;</w:t>
      </w:r>
    </w:p>
    <w:p w14:paraId="100C4837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8) zwrócenie uwagi na stan psychofizyczny policjantów;</w:t>
      </w:r>
    </w:p>
    <w:p w14:paraId="423B2884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9) określenie sposobu utrzymywania łączności z dyżurnym jednostki Policji.</w:t>
      </w:r>
    </w:p>
    <w:p w14:paraId="728E352E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Prowadzący odprawę sprawdza znajomość przez policjantów:</w:t>
      </w:r>
    </w:p>
    <w:p w14:paraId="549B0EC2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podstawowych uprawnień;</w:t>
      </w:r>
    </w:p>
    <w:p w14:paraId="5B921BCA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zasad użycia lub wykorzystania środków przymusu bezpośredniego i broni palnej;</w:t>
      </w:r>
    </w:p>
    <w:p w14:paraId="0F410321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zasad pełnienia służby patrolowej.</w:t>
      </w:r>
    </w:p>
    <w:p w14:paraId="4C21CE4C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Przebieg odprawy, treść przekazanych zadań doraźnych oraz sposób ich realizacji, dokumentuje się bezpośrednio w Systemie Wspomagania Dowodzenia.</w:t>
      </w:r>
    </w:p>
    <w:p w14:paraId="47F4141F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4. W przypadku trudności organizacyjno-technicznych dopuszcza się dokumentowanie informacji wymienionych w ust. 3 w innej formie, spełniającej wymogi kancelaryjne, przy czym zastosowane rozwiązania muszą zapewnić czytelność i kompletność informacji.</w:t>
      </w:r>
    </w:p>
    <w:p w14:paraId="79B4D348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5.</w:t>
      </w:r>
      <w:r w:rsidRPr="00A4384F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A4384F">
        <w:rPr>
          <w:rFonts w:ascii="Arial" w:eastAsia="Helvetica" w:hAnsi="Arial" w:cs="Arial"/>
          <w:sz w:val="20"/>
          <w:szCs w:val="20"/>
        </w:rPr>
        <w:t xml:space="preserve"> Policjanci odnotowują w notatnikach służbowych zadania doraźne i istotne informacje przekazane przez odprawiającego do służby, jeżeli nie zostały one zawarte w cedułach patrolowych.</w:t>
      </w:r>
    </w:p>
    <w:p w14:paraId="291A722F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lastRenderedPageBreak/>
        <w:t>6.</w:t>
      </w:r>
      <w:r w:rsidRPr="00A4384F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Pr="00A4384F">
        <w:rPr>
          <w:rFonts w:ascii="Arial" w:eastAsia="Helvetica" w:hAnsi="Arial" w:cs="Arial"/>
          <w:sz w:val="20"/>
          <w:szCs w:val="20"/>
        </w:rPr>
        <w:t xml:space="preserve"> W sytuacji dokumentowania przez policjantów odprawy w formie elektronicznej w systemach teleinformatycznych Policji, w przypadku braku dostępności do innych komponentów tych systemów, dopuszcza się dokumentowanie dalszego przebiegu służby w formie papierowej. Przepis § 25 ust. 8 stosuje się odpowiednio.</w:t>
      </w:r>
    </w:p>
    <w:p w14:paraId="3DF8C6A6" w14:textId="2D8189BC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27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Prowadzący odprawę, określając taktykę pełnienia służby patrolowej, powinien kierować się w szczególności następującymi zasadami:</w:t>
      </w:r>
    </w:p>
    <w:p w14:paraId="0BE99890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rozmieszczenie patroli powinno być proporcjonalne i adekwatne do potrzeb i przewidywanego zagrożenia;</w:t>
      </w:r>
    </w:p>
    <w:p w14:paraId="1B8E8004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zastosowane formy pełnienia służby patrolowej powinny gwarantować bezpieczeństwo działania policjanta, a także pozytywnie wpływać na skuteczność i efektywność tej służby.</w:t>
      </w:r>
    </w:p>
    <w:p w14:paraId="44D1D9AB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Wykonywanie zadań w patrolu jednoosobowym może być realizowane wyłącznie:</w:t>
      </w:r>
    </w:p>
    <w:p w14:paraId="41984226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przez policjantów posiadających odpowiednie doświadczenie zawodowe, a zwłaszcza pozostających w służbie stałej;</w:t>
      </w:r>
    </w:p>
    <w:p w14:paraId="092E7B28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w porze dziennej, od świtu do zmroku;</w:t>
      </w:r>
    </w:p>
    <w:p w14:paraId="57376EB8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przy zapewnieniu w rejonie służby stałej obecności patrolu wspierającego;</w:t>
      </w:r>
    </w:p>
    <w:p w14:paraId="049F63BC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przy ograniczeniu możliwości samodzielnego podejmowania interwencji domowych, w pomieszczeniach zamkniętych oraz w stosunku do więcej niż dwóch osób.</w:t>
      </w:r>
    </w:p>
    <w:p w14:paraId="363F05BF" w14:textId="0BF1EBAB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28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Policjant kierujący pojazdem służbowym przed odprawą do służby patrolowej ma obowiązek sprawdzić wyposażenie pojazdu, jego stan techniczny oraz działanie środków łączności.</w:t>
      </w:r>
    </w:p>
    <w:p w14:paraId="2ACC43EF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O stwierdzonych usterkach technicznych pojazdu służbowego, których nie można natychmiast usunąć, lub brakach w jego wyposażeniu policjant natychmiast melduje prowadzącemu odprawę.</w:t>
      </w:r>
    </w:p>
    <w:p w14:paraId="1732E79A" w14:textId="2ACD9588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29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Policjanci pełniący służbę patrolową mają obowiązek utrzymywania bieżącego kontaktu przy pomocy środków łączności z dyżurnym jednostki Policji.</w:t>
      </w:r>
    </w:p>
    <w:p w14:paraId="16EBADC7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Opuszczenie rejonu pełnienia służby patrolowej może nastąpić wyłącznie na polecenie lub za uprzednią zgodą dyżurnego jednostki Policji lub innej uprawnionej osoby.</w:t>
      </w:r>
    </w:p>
    <w:p w14:paraId="6A7672EC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Zasady utrzymywania łączności pomiędzy policjantami pełniącymi służbę patrolową a dyżurnym jednostki Policji ustala prowadzący odprawę.</w:t>
      </w:r>
    </w:p>
    <w:p w14:paraId="5D23BA73" w14:textId="2BEE4CF6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30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Pr="00A4384F">
        <w:rPr>
          <w:rFonts w:ascii="Arial" w:eastAsia="Helvetica" w:hAnsi="Arial" w:cs="Arial"/>
          <w:sz w:val="20"/>
          <w:szCs w:val="20"/>
        </w:rPr>
        <w:t xml:space="preserve"> Podczas patrolowania policjanci powinni:</w:t>
      </w:r>
    </w:p>
    <w:p w14:paraId="3EB4AB23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być widoczni w rejonie pełnienia służby, o ile nie określono innej taktyki;</w:t>
      </w:r>
    </w:p>
    <w:p w14:paraId="341643FE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w każdym przypadku reagować na wezwanie do udzielenia pomocy;</w:t>
      </w:r>
    </w:p>
    <w:p w14:paraId="553B3ECA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systematycznie kontrolować wszystkie miejsca zagrożone znajdujące się na trasie patrolu lub w rejonie pełnienia służby;</w:t>
      </w:r>
    </w:p>
    <w:p w14:paraId="5CE4AB37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pozyskiwać i przyjmować wszystkie informacje na temat występujących zagrożeń w danym rejonie.</w:t>
      </w:r>
    </w:p>
    <w:p w14:paraId="6BDD72E1" w14:textId="4503578B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31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Policjanci podczas patrolowania miejsc o ograniczonej widoczności przy wejściu do pomieszczeń i podejmowaniu interwencji obowiązani są zachować szczególne środki ostrożności i być przygotowanymi na odparcie zamachu.</w:t>
      </w:r>
    </w:p>
    <w:p w14:paraId="298D0DF0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Policjanci, w razie potrzeby, powinni za pośrednictwem dyżurnego jednostki Policji zwrócić się o zapewnienie im wsparcia innego patrolu, o ile sytuacja umożliwia im takie działanie.</w:t>
      </w:r>
    </w:p>
    <w:p w14:paraId="235C6EC1" w14:textId="2C4237CE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32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Pr="00A4384F">
        <w:rPr>
          <w:rFonts w:ascii="Arial" w:eastAsia="Helvetica" w:hAnsi="Arial" w:cs="Arial"/>
          <w:sz w:val="20"/>
          <w:szCs w:val="20"/>
        </w:rPr>
        <w:t xml:space="preserve"> Policjanci w czasie patrolowania przy użyciu samochodu służbowego powinni:</w:t>
      </w:r>
    </w:p>
    <w:p w14:paraId="2C11AF4A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wykorzystywać pojazd wyłącznie do przemieszczania się pomiędzy rejonami zagrożenia oraz miejscami zagrożonymi, zachowując prędkość umożliwiającą obserwację terenu i osób;</w:t>
      </w:r>
    </w:p>
    <w:p w14:paraId="3D7E872B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lastRenderedPageBreak/>
        <w:t>2) po opuszczeniu pojazdu pieszo patrolować miejsca zagrożone oraz dokonywać sprawdzeń miejsc i obiektów w rejonach zagrożonych;</w:t>
      </w:r>
    </w:p>
    <w:p w14:paraId="3A145BEE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fakt wyjścia z i powrotu do pojazdu zgłosić dyżurnemu jednostki Policji, w której pełnią służbę, o ile mogą zaistnieć trudności w utrzymaniu z nim łączności.</w:t>
      </w:r>
    </w:p>
    <w:p w14:paraId="35BFBF8B" w14:textId="72E48AD4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33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Policjanci pełnią służbę patrolową w umundurowaniu określonym w odrębnych przepisach, z zastrzeżeniem ust. 2.</w:t>
      </w:r>
    </w:p>
    <w:p w14:paraId="1823FAB6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W razie potrzeby wynikającej z charakteru wykonywanych zadań służbowych przełożony policjantów, o których mowa w ust. 1, zwalnia ich z obowiązku noszenia umundurowania na zasadach określonych w odrębnych przepisach.</w:t>
      </w:r>
    </w:p>
    <w:p w14:paraId="3755C8F9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Policjanci obowiązani są posiadać wyposażenie i uzbrojenie zgodne z obowiązującymi przepisami oraz stosowne do charakteru, czasu i sposobu wykonywanej służby, o czym decyduje odprawiający do służby.</w:t>
      </w:r>
    </w:p>
    <w:p w14:paraId="710BBC6A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4. Dowódca oddziału prewencji Policji uzgadnia z kierownikiem jednostki Policji, w której pełniona będzie służba patrolowa, z odpowiednim wyprzedzeniem umundurowanie, uzbrojenie i wyposażenie do służby podległych mu policjantów.</w:t>
      </w:r>
    </w:p>
    <w:p w14:paraId="6CC1FE9F" w14:textId="7A9B4D5E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34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Dowódca patrolu zwraca się do dyżurnego jednostki Policji lub innej uprawnionej osoby o wyrażenie zgody na przerwę w służbie oraz informuje o rozpoczęciu i zakończeniu przerwy.</w:t>
      </w:r>
    </w:p>
    <w:p w14:paraId="6951FB9E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Za zgodą dyżurnego jednostki Policji lub innej uprawnionej osoby policjanci mogą w czasie przerwy opuścić rejon pełnienia służby.</w:t>
      </w:r>
    </w:p>
    <w:p w14:paraId="092EBEEF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W czasie przerwy policjanci pozostają w stałej gotowości do odbioru łączności radiowej.</w:t>
      </w:r>
    </w:p>
    <w:p w14:paraId="2877A716" w14:textId="32F403AA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35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W razie otrzymania informacji o przestępstwie lub wykroczeniu w rejonie pełnienia służby, policjanci meldują o tym fakcie dyżurnemu jednostki Policji, a następnie bezzwłocznie udają się na miejsce wydarzenia.</w:t>
      </w:r>
    </w:p>
    <w:p w14:paraId="1151CA51" w14:textId="38CECE5E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Na hasło</w:t>
      </w:r>
      <w:r w:rsidR="00103C6A" w:rsidRPr="00A4384F">
        <w:rPr>
          <w:rFonts w:ascii="Arial" w:eastAsia="Helvetica" w:hAnsi="Arial" w:cs="Arial"/>
          <w:sz w:val="20"/>
          <w:szCs w:val="20"/>
        </w:rPr>
        <w:t xml:space="preserve"> „</w:t>
      </w:r>
      <w:r w:rsidRPr="00A4384F">
        <w:rPr>
          <w:rFonts w:ascii="Arial" w:eastAsia="Helvetica" w:hAnsi="Arial" w:cs="Arial"/>
          <w:sz w:val="20"/>
          <w:szCs w:val="20"/>
        </w:rPr>
        <w:t>policjant wzywa pomocy</w:t>
      </w:r>
      <w:r w:rsidR="00103C6A" w:rsidRPr="00A4384F">
        <w:rPr>
          <w:rFonts w:ascii="Arial" w:eastAsia="Helvetica" w:hAnsi="Arial" w:cs="Arial"/>
          <w:sz w:val="20"/>
          <w:szCs w:val="20"/>
        </w:rPr>
        <w:t>”</w:t>
      </w:r>
      <w:r w:rsidRPr="00A4384F">
        <w:rPr>
          <w:rFonts w:ascii="Arial" w:eastAsia="Helvetica" w:hAnsi="Arial" w:cs="Arial"/>
          <w:sz w:val="20"/>
          <w:szCs w:val="20"/>
        </w:rPr>
        <w:t xml:space="preserve"> policjanci, w uzgodnieniu z dyżurnym jednostki Policji, udają się do miejsca zagrożenia. Hasła</w:t>
      </w:r>
      <w:r w:rsidR="00103C6A" w:rsidRPr="00A4384F">
        <w:rPr>
          <w:rFonts w:ascii="Arial" w:eastAsia="Helvetica" w:hAnsi="Arial" w:cs="Arial"/>
          <w:sz w:val="20"/>
          <w:szCs w:val="20"/>
        </w:rPr>
        <w:t xml:space="preserve"> „</w:t>
      </w:r>
      <w:r w:rsidRPr="00A4384F">
        <w:rPr>
          <w:rFonts w:ascii="Arial" w:eastAsia="Helvetica" w:hAnsi="Arial" w:cs="Arial"/>
          <w:sz w:val="20"/>
          <w:szCs w:val="20"/>
        </w:rPr>
        <w:t>policjant wzywa pomocy</w:t>
      </w:r>
      <w:r w:rsidR="00103C6A" w:rsidRPr="00A4384F">
        <w:rPr>
          <w:rFonts w:ascii="Arial" w:eastAsia="Helvetica" w:hAnsi="Arial" w:cs="Arial"/>
          <w:sz w:val="20"/>
          <w:szCs w:val="20"/>
        </w:rPr>
        <w:t>”</w:t>
      </w:r>
      <w:r w:rsidRPr="00A4384F">
        <w:rPr>
          <w:rFonts w:ascii="Arial" w:eastAsia="Helvetica" w:hAnsi="Arial" w:cs="Arial"/>
          <w:sz w:val="20"/>
          <w:szCs w:val="20"/>
        </w:rPr>
        <w:t xml:space="preserve"> używa się tylko w sytuacji, gdy zagrożone jest życie lub zdrowie albo wolność policjanta.</w:t>
      </w:r>
    </w:p>
    <w:p w14:paraId="09CB384E" w14:textId="563D5278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36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Pr="00A4384F">
        <w:rPr>
          <w:rFonts w:ascii="Arial" w:eastAsia="Helvetica" w:hAnsi="Arial" w:cs="Arial"/>
          <w:sz w:val="20"/>
          <w:szCs w:val="20"/>
        </w:rPr>
        <w:t xml:space="preserve"> Na miejscu wydarzenia policjanci powinni w szczególności:</w:t>
      </w:r>
    </w:p>
    <w:p w14:paraId="543BC8A0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udzielić lub spowodować udzielenie pierwszej pomocy osobom, których życiu lub zdrowiu zagraża niebezpieczeństwo, a w razie potrzeby zapewnić wezwanie kwalifikowanej pierwszej pomocy lub podmiotów świadczących medyczne czynności ratunkowe;</w:t>
      </w:r>
    </w:p>
    <w:p w14:paraId="148C761F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uniemożliwić sprawcy kontynuowanie działań naruszających porządek prawny i w miarę możliwości zatrzymać sprawcę;</w:t>
      </w:r>
    </w:p>
    <w:p w14:paraId="6B9C4E7D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podjąć pościg za sprawcą wydarzenia, jeżeli istnieją ku temu warunki;</w:t>
      </w:r>
    </w:p>
    <w:p w14:paraId="667BF955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zabezpieczyć miejsce wydarzenia przed zatarciem śladów i innych dowodów;</w:t>
      </w:r>
    </w:p>
    <w:p w14:paraId="3D192FAF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5) zebrać możliwie najwięcej informacji o wydarzeniu i jego sprawcach oraz ustalić świadków.</w:t>
      </w:r>
    </w:p>
    <w:p w14:paraId="667423DC" w14:textId="62C5F74C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37</w:t>
      </w:r>
      <w:r w:rsidR="006D2E26">
        <w:rPr>
          <w:rFonts w:ascii="Arial" w:hAnsi="Arial" w:cs="Arial"/>
          <w:sz w:val="20"/>
          <w:szCs w:val="20"/>
        </w:rPr>
        <w:t xml:space="preserve">. </w:t>
      </w:r>
      <w:r w:rsidRPr="00A4384F">
        <w:rPr>
          <w:rFonts w:ascii="Arial" w:eastAsia="Helvetica" w:hAnsi="Arial" w:cs="Arial"/>
          <w:sz w:val="20"/>
          <w:szCs w:val="20"/>
        </w:rPr>
        <w:t>1. Policjanci każdorazowo po zakończeniu służby patrolowej:</w:t>
      </w:r>
    </w:p>
    <w:p w14:paraId="10909786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meldują bezpośredniemu przełożonemu, a w razie jego nieobecności, wyznaczonemu przez kierownika jednostki Policji innemu policjantowi odpowiedzialnemu za służbę patrolową, o jej przebiegu oraz wynikach;</w:t>
      </w:r>
    </w:p>
    <w:p w14:paraId="1611B90A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przekazują osobie, o której mowa w pkt 1, niezbędne dokumenty z wykonanych czynności, w tym informacje o zagrożeniach wskazanych przez mieszkańców oraz o stwierdzonych nieprawidłowościach w zabezpieczeniu infrastruktury w rejonie służbowym;</w:t>
      </w:r>
    </w:p>
    <w:p w14:paraId="40F46171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sporządzają i przekazują, zgodnie z obowiązującymi zasadami, informacje uzyskane w drodze realizacji podstawowych metod pracy operacyjnej.</w:t>
      </w:r>
    </w:p>
    <w:p w14:paraId="7A4AF75A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lastRenderedPageBreak/>
        <w:t>2. Każdorazowo, po zakończeniu służby, policjant lub wyznaczona przez kierownika jednostki organizacyjnej Policji osoba wprowadza efekty pracy policjanta do Systemu Elektronicznej Sprawozdawczości w Policji, zgodnie z obowiązującymi w tym zakresie przepisami.</w:t>
      </w:r>
    </w:p>
    <w:p w14:paraId="29002697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(uchylony)</w:t>
      </w:r>
    </w:p>
    <w:p w14:paraId="6155B1B7" w14:textId="7BD20F73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38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</w:t>
      </w:r>
      <w:r w:rsidRPr="00A4384F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Pr="00A4384F">
        <w:rPr>
          <w:rFonts w:ascii="Arial" w:eastAsia="Helvetica" w:hAnsi="Arial" w:cs="Arial"/>
          <w:sz w:val="20"/>
          <w:szCs w:val="20"/>
        </w:rPr>
        <w:t xml:space="preserve"> Bezpośredni przełożony policjanta lub wyznaczona przez kierownika jednostki Policji osoba sprawuje nadzór nad realizacją czynności, o których mowa w § 37 ust. 2, potwierdzając ten fakt wpisem w notatniku służbowym.</w:t>
      </w:r>
    </w:p>
    <w:p w14:paraId="2F8FA441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(uchylony)</w:t>
      </w:r>
    </w:p>
    <w:p w14:paraId="349D253C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Oceny realizacji zadań przez policjanta i efektów służby dokonuje się bezpośrednio po jej zakończeniu.</w:t>
      </w:r>
    </w:p>
    <w:p w14:paraId="0BAA3D8D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4.</w:t>
      </w:r>
      <w:r w:rsidRPr="00A4384F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Pr="00A4384F">
        <w:rPr>
          <w:rFonts w:ascii="Arial" w:eastAsia="Helvetica" w:hAnsi="Arial" w:cs="Arial"/>
          <w:sz w:val="20"/>
          <w:szCs w:val="20"/>
        </w:rPr>
        <w:t xml:space="preserve"> Przyjęcie dokumentacji służbowej potwierdza się wpisem w notatniku służbowym policjanta lub innej przyjętej w jednostce Policji formie.</w:t>
      </w:r>
    </w:p>
    <w:p w14:paraId="1D07FA08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5.</w:t>
      </w:r>
      <w:r w:rsidRPr="00A4384F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Pr="00A4384F">
        <w:rPr>
          <w:rFonts w:ascii="Arial" w:eastAsia="Helvetica" w:hAnsi="Arial" w:cs="Arial"/>
          <w:sz w:val="20"/>
          <w:szCs w:val="20"/>
        </w:rPr>
        <w:t xml:space="preserve"> Jeżeli rozliczenie ze służby nie może być dokonane przez osoby, o których mowa w § 37 ust. 1 pkt 1, dyżurny jednostki Policji za zgodą kierownika jednostki Policji potwierdza zakończenie służby. Fakt ten należy odnotować w Systemie Wspomagania Dowodzenia lub innej dokumentacji dotyczącej organizacji służby oraz notatniku służbowym policjanta. Zapis w notatniku służbowym zawiera w szczególności: przekazane istotne informacje z jej przebiegu oraz wskazanie stopnia, imienia, nazwiska i funkcji przyjmującego informację.</w:t>
      </w:r>
    </w:p>
    <w:p w14:paraId="560FB409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6. W przypadku wymienionym w ust. 5 bezpośredni przełożony policjanta dokonuje niezwłocznie oceny realizacji zadań przez policjanta i efektów służby.</w:t>
      </w:r>
    </w:p>
    <w:p w14:paraId="337AA0C7" w14:textId="77777777" w:rsidR="00B074C8" w:rsidRPr="00A4384F" w:rsidRDefault="00000000" w:rsidP="00564825">
      <w:pPr>
        <w:suppressAutoHyphens/>
        <w:spacing w:before="360" w:after="360" w:line="240" w:lineRule="auto"/>
        <w:jc w:val="center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caps/>
          <w:sz w:val="20"/>
          <w:szCs w:val="20"/>
        </w:rPr>
        <w:t>Rozdział 4. Nadzór nad pełnieniem służby patrolowej</w:t>
      </w:r>
    </w:p>
    <w:p w14:paraId="1E0439C2" w14:textId="3F47C80B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39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Komendant wojewódzki i Stołeczny Policji w szczególności odpowiedzialny jest za nadzór nad funkcjonowaniem systemów nadzoru w komendzie wojewódzkiej i Stołecznej Policji, komendach powiatowych Policji i komisariatach Policji.</w:t>
      </w:r>
    </w:p>
    <w:p w14:paraId="2328794F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 Komendant powiatowy Policji i komendant komisariatu Policji odpowiedzialni są odpowiednio za nadzór nad funkcjonowaniem systemów nadzoru w komendzie powiatowej Policji i komisariacie Policji na terenie objętym swoją właściwością.</w:t>
      </w:r>
    </w:p>
    <w:p w14:paraId="62C28E29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W celu zapewnienia właściwego poziomu nadzoru, poza bezpośrednimi przełożonymi policjantów realizujących służbę patrolową, Komendanci wymienieni w ust. 1 i 2 wyznaczają policjantów upoważnionych do wykonywania czynności nadzorczych.</w:t>
      </w:r>
    </w:p>
    <w:p w14:paraId="5CD49927" w14:textId="3FD21E8B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40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Pr="00A4384F">
        <w:rPr>
          <w:rFonts w:ascii="Arial" w:eastAsia="Helvetica" w:hAnsi="Arial" w:cs="Arial"/>
          <w:sz w:val="20"/>
          <w:szCs w:val="20"/>
        </w:rPr>
        <w:t xml:space="preserve"> Celem nadzoru nad pełnieniem służby patrolowej jest:</w:t>
      </w:r>
    </w:p>
    <w:p w14:paraId="63045A56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identyfikacja trudności w realizacji zadań służbowych w celu podejmowania działań zapobiegawczych,</w:t>
      </w:r>
    </w:p>
    <w:p w14:paraId="390A8808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dokonywanie oceny, czy taktyka pełnienia służby patrolowej ma wpływ na stan bezpieczeństwa i porządku w rejonie służbowym;</w:t>
      </w:r>
    </w:p>
    <w:p w14:paraId="64117F3C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sprawdzanie znajomości oraz stopnia realizacji zleconych zadań służbowych, a także uzyskiwanych w tej mierze efektów;</w:t>
      </w:r>
    </w:p>
    <w:p w14:paraId="0E4B02F5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badanie zasadności, warunków i sposobu stosowania środków przymusu bezpośredniego, przede wszystkim broni palnej, przez policjantów;</w:t>
      </w:r>
    </w:p>
    <w:p w14:paraId="6EBD2287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5) sprawdzanie stanu i prawidłowości wyposażenia, uzbrojenia i umundurowania obowiązującego w trakcie wykonywania służby, a także wyglądu zewnętrznego policjantów;</w:t>
      </w:r>
    </w:p>
    <w:p w14:paraId="68E297B7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6) sprawdzenie inicjatywy i aktywności policjantów w czasie służby;</w:t>
      </w:r>
    </w:p>
    <w:p w14:paraId="57E33F4A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lastRenderedPageBreak/>
        <w:t>7) reagowanie na stwierdzone w trakcie nadzoru uchybienia poprzez wydawanie wiążących poleceń w celu natychmiastowego ich wyeliminowania.</w:t>
      </w:r>
    </w:p>
    <w:p w14:paraId="43FFE4BB" w14:textId="7AEA9E72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41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Pr="00A4384F">
        <w:rPr>
          <w:rFonts w:ascii="Arial" w:eastAsia="Helvetica" w:hAnsi="Arial" w:cs="Arial"/>
          <w:sz w:val="20"/>
          <w:szCs w:val="20"/>
        </w:rPr>
        <w:t xml:space="preserve"> Czynności wykonywane w ramach nadzoru nad pełnieniem służby patrolowej polegają w szczególności na:</w:t>
      </w:r>
    </w:p>
    <w:p w14:paraId="4AF6B486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obecności nadzorującego przy pełnieniu służby przez policjantów i obserwowaniu wykonywania przez nich czynności, a także na bezpośrednim wskazaniu sposobu ich wykonania;</w:t>
      </w:r>
    </w:p>
    <w:p w14:paraId="7578434E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obserwowaniu czynności wykonywanych przez policjantów z pewnej odległości;</w:t>
      </w:r>
    </w:p>
    <w:p w14:paraId="21BB043E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samodzielnym przejściu lub objeździe określonego rejonu pełnienia służby przez policjantów celem sprawdzenia stanu porządku i bezpieczeństwa publicznego, a także obecności policjantów w określonym miejscu i czasie.</w:t>
      </w:r>
    </w:p>
    <w:p w14:paraId="441D06E8" w14:textId="08C87C8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42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="006D2E26">
        <w:rPr>
          <w:rFonts w:ascii="Arial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1. Każda czynność wykonana w ramach nadzoru nad służbą patrolową dokumentowana jest w:</w:t>
      </w:r>
    </w:p>
    <w:p w14:paraId="289ED244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notatnikach służbowych policjantów, w stosunku do których podejmowane są czynności nadzorcze;</w:t>
      </w:r>
    </w:p>
    <w:p w14:paraId="6FF54854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książce nadzoru nad służbą przechowywanej przez dyżurnego jednostki Policji.</w:t>
      </w:r>
    </w:p>
    <w:p w14:paraId="2FE49F40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2.</w:t>
      </w:r>
      <w:r w:rsidRPr="00A4384F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Pr="00A4384F">
        <w:rPr>
          <w:rFonts w:ascii="Arial" w:eastAsia="Helvetica" w:hAnsi="Arial" w:cs="Arial"/>
          <w:sz w:val="20"/>
          <w:szCs w:val="20"/>
        </w:rPr>
        <w:t xml:space="preserve"> Książka nadzoru nad służbą może być prowadzona dla wszystkich służb jednostki. Książka nadzoru nad służbą może być prowadzona w formie elektronicznej w systemach teleinformatycznych Policji.</w:t>
      </w:r>
    </w:p>
    <w:p w14:paraId="70BE20E8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3. Zapisy z czynności nadzoru powinny zawierać:</w:t>
      </w:r>
    </w:p>
    <w:p w14:paraId="49014922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datę, czas, miejsce, stopień, imię i nazwisko policjantów;</w:t>
      </w:r>
    </w:p>
    <w:p w14:paraId="515F8A12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ewentualne uwagi dotyczące pełnienia służby;</w:t>
      </w:r>
    </w:p>
    <w:p w14:paraId="5940C3E2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wydane zalecenia;</w:t>
      </w:r>
    </w:p>
    <w:p w14:paraId="24A78BCC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4) stopień, imię, nazwisko oraz podpis osoby wykonującej czynności w ramach nadzoru.</w:t>
      </w:r>
    </w:p>
    <w:p w14:paraId="4AAACAA7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4. Uwagi dotyczące pełnienia służby patrolowej, stwierdzone podczas czynności wykonywanych w ramach nadzoru powinny być:</w:t>
      </w:r>
    </w:p>
    <w:p w14:paraId="152D55B1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1) wykorzystywane przy ocenie pracy poszczególnych policjantów, a także ich bezpośrednich przełożonych;</w:t>
      </w:r>
    </w:p>
    <w:p w14:paraId="073D25CB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2) okresowo analizowane i omawiane na naradach z częścią lub całym stanem osobowym jednostki;</w:t>
      </w:r>
    </w:p>
    <w:p w14:paraId="4FDFA2F4" w14:textId="77777777" w:rsidR="00B074C8" w:rsidRPr="00A4384F" w:rsidRDefault="00000000">
      <w:pPr>
        <w:spacing w:before="130" w:after="130" w:line="240" w:lineRule="auto"/>
        <w:ind w:left="220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sz w:val="20"/>
          <w:szCs w:val="20"/>
        </w:rPr>
        <w:t>3) wykorzystywane podczas opracowywania planów doskonalenia zawodowego.</w:t>
      </w:r>
    </w:p>
    <w:p w14:paraId="517B4C0C" w14:textId="0E5DFF9E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43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Pr="00A4384F">
        <w:rPr>
          <w:rFonts w:ascii="Arial" w:eastAsia="Helvetica" w:hAnsi="Arial" w:cs="Arial"/>
          <w:sz w:val="20"/>
          <w:szCs w:val="20"/>
        </w:rPr>
        <w:t xml:space="preserve"> Komendant jednostki Policji i dowódca oddziału prewencji Policji określa częstotliwość i formy nadzoru nad wykonywaniem zadań przez poszczególnych policjantów w zależności od ich zdyscyplinowania w służbie, rzetelności, aktywności i umiejętności realizacji zadań i poleceń służbowych, stażu i doświadczenia zawodowego, stopnia zagrożenia, miejsca w którym pełnią służbę, charakteru przydzielonych zadań oraz spostrzeżeń z poprzednio przeprowadzonych sprawdzeń.</w:t>
      </w:r>
    </w:p>
    <w:p w14:paraId="0221474C" w14:textId="77777777" w:rsidR="00B074C8" w:rsidRPr="00A4384F" w:rsidRDefault="00000000" w:rsidP="00564825">
      <w:pPr>
        <w:suppressAutoHyphens/>
        <w:spacing w:before="360" w:after="360" w:line="240" w:lineRule="auto"/>
        <w:jc w:val="center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caps/>
          <w:sz w:val="20"/>
          <w:szCs w:val="20"/>
        </w:rPr>
        <w:t>Rozdział 5. Przepisy końcowe</w:t>
      </w:r>
    </w:p>
    <w:p w14:paraId="51B8E767" w14:textId="47240932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44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Pr="00A4384F">
        <w:rPr>
          <w:rFonts w:ascii="Arial" w:eastAsia="Helvetica" w:hAnsi="Arial" w:cs="Arial"/>
          <w:sz w:val="20"/>
          <w:szCs w:val="20"/>
        </w:rPr>
        <w:t xml:space="preserve"> Traci moc zarządzenie nr 494 Komendanta Głównego Policji z dnia 25 maja 2004 r. w sprawie metod i form wykonywania zadań przez policjantów pełniących służbę patrolową (Dz.</w:t>
      </w:r>
      <w:r w:rsidR="00DF21BD">
        <w:rPr>
          <w:rFonts w:ascii="Arial" w:eastAsia="Helvetica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Urz. KGP poz. 33) oraz decyzja nr 152 Komendanta Głównego Policji z dnia 17 marca 2006 r. w sprawie wprowadzenia zintegrowanego systemu organizacji i dyslokacji służby oraz koordynacji działań zewnętrznych o charakterze prewencyjnym (Dz.</w:t>
      </w:r>
      <w:r w:rsidR="00DF21BD">
        <w:rPr>
          <w:rFonts w:ascii="Arial" w:eastAsia="Helvetica" w:hAnsi="Arial" w:cs="Arial"/>
          <w:sz w:val="20"/>
          <w:szCs w:val="20"/>
        </w:rPr>
        <w:t xml:space="preserve"> </w:t>
      </w:r>
      <w:r w:rsidRPr="00A4384F">
        <w:rPr>
          <w:rFonts w:ascii="Arial" w:eastAsia="Helvetica" w:hAnsi="Arial" w:cs="Arial"/>
          <w:sz w:val="20"/>
          <w:szCs w:val="20"/>
        </w:rPr>
        <w:t>Urz. KGP poz. 36 i 64).</w:t>
      </w:r>
    </w:p>
    <w:p w14:paraId="3D924E7C" w14:textId="4C8190DD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§ 45</w:t>
      </w:r>
      <w:r w:rsidR="006D2E26">
        <w:rPr>
          <w:rFonts w:ascii="Arial" w:eastAsia="Helvetica" w:hAnsi="Arial" w:cs="Arial"/>
          <w:b/>
          <w:sz w:val="20"/>
          <w:szCs w:val="20"/>
        </w:rPr>
        <w:t>.</w:t>
      </w:r>
      <w:r w:rsidRPr="00A4384F">
        <w:rPr>
          <w:rFonts w:ascii="Arial" w:eastAsia="Helvetica" w:hAnsi="Arial" w:cs="Arial"/>
          <w:sz w:val="20"/>
          <w:szCs w:val="20"/>
        </w:rPr>
        <w:t xml:space="preserve"> Zarządzenie wchodzi w życie z dniem 1 września 2007 r.</w:t>
      </w:r>
    </w:p>
    <w:p w14:paraId="30D9C363" w14:textId="77777777" w:rsidR="00B074C8" w:rsidRPr="00A4384F" w:rsidRDefault="00000000">
      <w:pPr>
        <w:spacing w:before="130" w:after="130" w:line="240" w:lineRule="auto"/>
        <w:jc w:val="both"/>
        <w:rPr>
          <w:rFonts w:ascii="Arial" w:hAnsi="Arial" w:cs="Arial"/>
          <w:sz w:val="20"/>
          <w:szCs w:val="20"/>
        </w:rPr>
      </w:pPr>
      <w:r w:rsidRPr="00A4384F">
        <w:rPr>
          <w:rFonts w:ascii="Arial" w:eastAsia="Helvetica" w:hAnsi="Arial" w:cs="Arial"/>
          <w:b/>
          <w:sz w:val="20"/>
          <w:szCs w:val="20"/>
        </w:rPr>
        <w:t>Załącznik</w:t>
      </w:r>
      <w:r w:rsidRPr="00A4384F">
        <w:rPr>
          <w:rFonts w:ascii="Arial" w:eastAsia="Helvetica" w:hAnsi="Arial" w:cs="Arial"/>
          <w:i/>
          <w:sz w:val="20"/>
          <w:szCs w:val="20"/>
        </w:rPr>
        <w:t xml:space="preserve"> (uchylony)</w:t>
      </w:r>
    </w:p>
    <w:sectPr w:rsidR="00B074C8" w:rsidRPr="00A4384F" w:rsidSect="00FE3952">
      <w:type w:val="nextColumn"/>
      <w:pgSz w:w="12240" w:h="15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4D49A" w14:textId="77777777" w:rsidR="00622F10" w:rsidRDefault="00622F10">
      <w:pPr>
        <w:spacing w:after="0" w:line="240" w:lineRule="auto"/>
      </w:pPr>
      <w:r>
        <w:separator/>
      </w:r>
    </w:p>
  </w:endnote>
  <w:endnote w:type="continuationSeparator" w:id="0">
    <w:p w14:paraId="2A7ED4A8" w14:textId="77777777" w:rsidR="00622F10" w:rsidRDefault="0062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32A28" w14:textId="77777777" w:rsidR="00622F10" w:rsidRDefault="00622F10">
      <w:pPr>
        <w:spacing w:after="0" w:line="240" w:lineRule="auto"/>
      </w:pPr>
      <w:r>
        <w:separator/>
      </w:r>
    </w:p>
  </w:footnote>
  <w:footnote w:type="continuationSeparator" w:id="0">
    <w:p w14:paraId="46662C36" w14:textId="77777777" w:rsidR="00622F10" w:rsidRDefault="00622F10">
      <w:pPr>
        <w:spacing w:after="0" w:line="240" w:lineRule="auto"/>
      </w:pPr>
      <w:r>
        <w:continuationSeparator/>
      </w:r>
    </w:p>
  </w:footnote>
  <w:footnote w:id="1">
    <w:p w14:paraId="507A7752" w14:textId="25E83D85" w:rsidR="00B074C8" w:rsidRPr="001066A9" w:rsidRDefault="00000000" w:rsidP="00FE3952">
      <w:pPr>
        <w:pStyle w:val="Tekstprzypisudolnego"/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1066A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066A9">
        <w:rPr>
          <w:rFonts w:ascii="Arial" w:eastAsia="Helvetica" w:hAnsi="Arial" w:cs="Arial"/>
          <w:sz w:val="16"/>
          <w:szCs w:val="16"/>
        </w:rPr>
        <w:t xml:space="preserve"> </w:t>
      </w:r>
      <w:r w:rsidR="00744F7F" w:rsidRPr="00744F7F">
        <w:rPr>
          <w:rFonts w:ascii="Arial" w:hAnsi="Arial" w:cs="Arial"/>
          <w:sz w:val="16"/>
          <w:szCs w:val="16"/>
          <w:shd w:val="clear" w:color="auto" w:fill="FFFFFF"/>
        </w:rPr>
        <w:t>Zmiany tekstu jednolitego wymienionej ustawy zostały ogłoszone w Dz. U. z 2025 r. poz. 718 i 1366 oraz z 2026 r. poz. 187, 421, 646, 760, 815, 821 i 864.</w:t>
      </w:r>
    </w:p>
  </w:footnote>
  <w:footnote w:id="2">
    <w:p w14:paraId="05406E71" w14:textId="02D6B176" w:rsidR="00B074C8" w:rsidRPr="00175ED9" w:rsidRDefault="00000000" w:rsidP="00FE3952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75ED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75ED9">
        <w:rPr>
          <w:rFonts w:ascii="Arial" w:eastAsia="Helvetica" w:hAnsi="Arial" w:cs="Arial"/>
          <w:sz w:val="16"/>
          <w:szCs w:val="16"/>
        </w:rPr>
        <w:t xml:space="preserve"> § 2 pkt 12 w brzmieniu zarządzenia z dnia 10.06.2026 r. (Dz.</w:t>
      </w:r>
      <w:r w:rsidR="00FE3952" w:rsidRPr="00175ED9">
        <w:rPr>
          <w:rFonts w:ascii="Arial" w:eastAsia="Helvetica" w:hAnsi="Arial" w:cs="Arial"/>
          <w:sz w:val="16"/>
          <w:szCs w:val="16"/>
        </w:rPr>
        <w:t xml:space="preserve"> </w:t>
      </w:r>
      <w:r w:rsidRPr="00175ED9">
        <w:rPr>
          <w:rFonts w:ascii="Arial" w:eastAsia="Helvetica" w:hAnsi="Arial" w:cs="Arial"/>
          <w:sz w:val="16"/>
          <w:szCs w:val="16"/>
        </w:rPr>
        <w:t>Urz.</w:t>
      </w:r>
      <w:r w:rsidR="00FE3952" w:rsidRPr="00175ED9">
        <w:rPr>
          <w:rFonts w:ascii="Arial" w:eastAsia="Helvetica" w:hAnsi="Arial" w:cs="Arial"/>
          <w:sz w:val="16"/>
          <w:szCs w:val="16"/>
        </w:rPr>
        <w:t xml:space="preserve"> </w:t>
      </w:r>
      <w:r w:rsidRPr="00175ED9">
        <w:rPr>
          <w:rFonts w:ascii="Arial" w:eastAsia="Helvetica" w:hAnsi="Arial" w:cs="Arial"/>
          <w:sz w:val="16"/>
          <w:szCs w:val="16"/>
        </w:rPr>
        <w:t xml:space="preserve">KGP z 2026 r. poz. 65), które </w:t>
      </w:r>
      <w:bookmarkStart w:id="0" w:name="_Hlk235775488"/>
      <w:r w:rsidRPr="00175ED9">
        <w:rPr>
          <w:rFonts w:ascii="Arial" w:eastAsia="Helvetica" w:hAnsi="Arial" w:cs="Arial"/>
          <w:sz w:val="16"/>
          <w:szCs w:val="16"/>
        </w:rPr>
        <w:t>w</w:t>
      </w:r>
      <w:r w:rsidR="00092599">
        <w:rPr>
          <w:rFonts w:ascii="Arial" w:eastAsia="Helvetica" w:hAnsi="Arial" w:cs="Arial"/>
          <w:sz w:val="16"/>
          <w:szCs w:val="16"/>
        </w:rPr>
        <w:t>eszło</w:t>
      </w:r>
      <w:bookmarkEnd w:id="0"/>
      <w:r w:rsidRPr="00175ED9">
        <w:rPr>
          <w:rFonts w:ascii="Arial" w:eastAsia="Helvetica" w:hAnsi="Arial" w:cs="Arial"/>
          <w:sz w:val="16"/>
          <w:szCs w:val="16"/>
        </w:rPr>
        <w:t xml:space="preserve"> w życie</w:t>
      </w:r>
      <w:r w:rsidR="00A4384F" w:rsidRPr="00175ED9">
        <w:rPr>
          <w:rFonts w:ascii="Arial" w:eastAsia="Helvetica" w:hAnsi="Arial" w:cs="Arial"/>
          <w:sz w:val="16"/>
          <w:szCs w:val="16"/>
        </w:rPr>
        <w:t xml:space="preserve"> </w:t>
      </w:r>
      <w:r w:rsidRPr="00175ED9">
        <w:rPr>
          <w:rFonts w:ascii="Arial" w:eastAsia="Helvetica" w:hAnsi="Arial" w:cs="Arial"/>
          <w:sz w:val="16"/>
          <w:szCs w:val="16"/>
        </w:rPr>
        <w:t>12.06.2026 r.</w:t>
      </w:r>
    </w:p>
  </w:footnote>
  <w:footnote w:id="3">
    <w:p w14:paraId="13D9A857" w14:textId="2EC3C797" w:rsidR="00B074C8" w:rsidRPr="00175ED9" w:rsidRDefault="00000000" w:rsidP="00FE3952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75ED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75ED9">
        <w:rPr>
          <w:rFonts w:ascii="Arial" w:eastAsia="Helvetica" w:hAnsi="Arial" w:cs="Arial"/>
          <w:sz w:val="16"/>
          <w:szCs w:val="16"/>
        </w:rPr>
        <w:t xml:space="preserve"> § 2 pkt 12a dodany zarządzeniem z dnia 10.06.2026 r. (Dz.</w:t>
      </w:r>
      <w:r w:rsidR="00FE3952" w:rsidRPr="00175ED9">
        <w:rPr>
          <w:rFonts w:ascii="Arial" w:eastAsia="Helvetica" w:hAnsi="Arial" w:cs="Arial"/>
          <w:sz w:val="16"/>
          <w:szCs w:val="16"/>
        </w:rPr>
        <w:t xml:space="preserve"> </w:t>
      </w:r>
      <w:r w:rsidRPr="00175ED9">
        <w:rPr>
          <w:rFonts w:ascii="Arial" w:eastAsia="Helvetica" w:hAnsi="Arial" w:cs="Arial"/>
          <w:sz w:val="16"/>
          <w:szCs w:val="16"/>
        </w:rPr>
        <w:t>Urz.</w:t>
      </w:r>
      <w:r w:rsidR="00FE3952" w:rsidRPr="00175ED9">
        <w:rPr>
          <w:rFonts w:ascii="Arial" w:eastAsia="Helvetica" w:hAnsi="Arial" w:cs="Arial"/>
          <w:sz w:val="16"/>
          <w:szCs w:val="16"/>
        </w:rPr>
        <w:t xml:space="preserve"> </w:t>
      </w:r>
      <w:r w:rsidRPr="00175ED9">
        <w:rPr>
          <w:rFonts w:ascii="Arial" w:eastAsia="Helvetica" w:hAnsi="Arial" w:cs="Arial"/>
          <w:sz w:val="16"/>
          <w:szCs w:val="16"/>
        </w:rPr>
        <w:t xml:space="preserve">KGP z 2026 r. poz. 65), które </w:t>
      </w:r>
      <w:r w:rsidR="00092599" w:rsidRPr="00175ED9">
        <w:rPr>
          <w:rFonts w:ascii="Arial" w:eastAsia="Helvetica" w:hAnsi="Arial" w:cs="Arial"/>
          <w:sz w:val="16"/>
          <w:szCs w:val="16"/>
        </w:rPr>
        <w:t>w</w:t>
      </w:r>
      <w:r w:rsidR="00092599">
        <w:rPr>
          <w:rFonts w:ascii="Arial" w:eastAsia="Helvetica" w:hAnsi="Arial" w:cs="Arial"/>
          <w:sz w:val="16"/>
          <w:szCs w:val="16"/>
        </w:rPr>
        <w:t>eszło</w:t>
      </w:r>
      <w:r w:rsidRPr="00175ED9">
        <w:rPr>
          <w:rFonts w:ascii="Arial" w:eastAsia="Helvetica" w:hAnsi="Arial" w:cs="Arial"/>
          <w:sz w:val="16"/>
          <w:szCs w:val="16"/>
        </w:rPr>
        <w:t xml:space="preserve"> w życie 12.06.2026 r.</w:t>
      </w:r>
    </w:p>
  </w:footnote>
  <w:footnote w:id="4">
    <w:p w14:paraId="201BC96E" w14:textId="1837C479" w:rsidR="00B074C8" w:rsidRPr="00175ED9" w:rsidRDefault="00000000" w:rsidP="00FE3952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75ED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75ED9">
        <w:rPr>
          <w:rFonts w:ascii="Arial" w:eastAsia="Helvetica" w:hAnsi="Arial" w:cs="Arial"/>
          <w:sz w:val="16"/>
          <w:szCs w:val="16"/>
        </w:rPr>
        <w:t xml:space="preserve"> § 2 pkt 12b dodany zarządzeniem z dnia 10.06.2026 r. (Dz.</w:t>
      </w:r>
      <w:r w:rsidR="00FE3952" w:rsidRPr="00175ED9">
        <w:rPr>
          <w:rFonts w:ascii="Arial" w:eastAsia="Helvetica" w:hAnsi="Arial" w:cs="Arial"/>
          <w:sz w:val="16"/>
          <w:szCs w:val="16"/>
        </w:rPr>
        <w:t xml:space="preserve"> </w:t>
      </w:r>
      <w:r w:rsidRPr="00175ED9">
        <w:rPr>
          <w:rFonts w:ascii="Arial" w:eastAsia="Helvetica" w:hAnsi="Arial" w:cs="Arial"/>
          <w:sz w:val="16"/>
          <w:szCs w:val="16"/>
        </w:rPr>
        <w:t>Urz.</w:t>
      </w:r>
      <w:r w:rsidR="00FE3952" w:rsidRPr="00175ED9">
        <w:rPr>
          <w:rFonts w:ascii="Arial" w:eastAsia="Helvetica" w:hAnsi="Arial" w:cs="Arial"/>
          <w:sz w:val="16"/>
          <w:szCs w:val="16"/>
        </w:rPr>
        <w:t xml:space="preserve"> </w:t>
      </w:r>
      <w:r w:rsidRPr="00175ED9">
        <w:rPr>
          <w:rFonts w:ascii="Arial" w:eastAsia="Helvetica" w:hAnsi="Arial" w:cs="Arial"/>
          <w:sz w:val="16"/>
          <w:szCs w:val="16"/>
        </w:rPr>
        <w:t xml:space="preserve">KGP z 2026 r. poz. 65), które </w:t>
      </w:r>
      <w:r w:rsidR="00092599" w:rsidRPr="00175ED9">
        <w:rPr>
          <w:rFonts w:ascii="Arial" w:eastAsia="Helvetica" w:hAnsi="Arial" w:cs="Arial"/>
          <w:sz w:val="16"/>
          <w:szCs w:val="16"/>
        </w:rPr>
        <w:t>w</w:t>
      </w:r>
      <w:r w:rsidR="00092599">
        <w:rPr>
          <w:rFonts w:ascii="Arial" w:eastAsia="Helvetica" w:hAnsi="Arial" w:cs="Arial"/>
          <w:sz w:val="16"/>
          <w:szCs w:val="16"/>
        </w:rPr>
        <w:t>eszło</w:t>
      </w:r>
      <w:r w:rsidR="00092599" w:rsidRPr="00175ED9">
        <w:rPr>
          <w:rFonts w:ascii="Arial" w:eastAsia="Helvetica" w:hAnsi="Arial" w:cs="Arial"/>
          <w:sz w:val="16"/>
          <w:szCs w:val="16"/>
        </w:rPr>
        <w:t xml:space="preserve"> </w:t>
      </w:r>
      <w:r w:rsidRPr="00175ED9">
        <w:rPr>
          <w:rFonts w:ascii="Arial" w:eastAsia="Helvetica" w:hAnsi="Arial" w:cs="Arial"/>
          <w:sz w:val="16"/>
          <w:szCs w:val="16"/>
        </w:rPr>
        <w:t>w życie 12.06.2026 r.</w:t>
      </w:r>
    </w:p>
  </w:footnote>
  <w:footnote w:id="5">
    <w:p w14:paraId="650B40CC" w14:textId="2C97F8BE" w:rsidR="00B074C8" w:rsidRDefault="00000000" w:rsidP="00FE3952">
      <w:pPr>
        <w:pStyle w:val="Tekstprzypisudolnego"/>
        <w:spacing w:after="0" w:line="240" w:lineRule="auto"/>
        <w:jc w:val="both"/>
      </w:pPr>
      <w:r w:rsidRPr="00175ED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75ED9">
        <w:rPr>
          <w:rFonts w:ascii="Arial" w:eastAsia="Helvetica" w:hAnsi="Arial" w:cs="Arial"/>
          <w:sz w:val="16"/>
          <w:szCs w:val="16"/>
        </w:rPr>
        <w:t xml:space="preserve"> § 2 pkt 12c dodany zarządzeniem z dnia 10.06.2026 r. (Dz.</w:t>
      </w:r>
      <w:r w:rsidR="00FE3952" w:rsidRPr="00175ED9">
        <w:rPr>
          <w:rFonts w:ascii="Arial" w:eastAsia="Helvetica" w:hAnsi="Arial" w:cs="Arial"/>
          <w:sz w:val="16"/>
          <w:szCs w:val="16"/>
        </w:rPr>
        <w:t xml:space="preserve"> </w:t>
      </w:r>
      <w:r w:rsidRPr="00175ED9">
        <w:rPr>
          <w:rFonts w:ascii="Arial" w:eastAsia="Helvetica" w:hAnsi="Arial" w:cs="Arial"/>
          <w:sz w:val="16"/>
          <w:szCs w:val="16"/>
        </w:rPr>
        <w:t>Urz.</w:t>
      </w:r>
      <w:r w:rsidR="00FE3952" w:rsidRPr="00175ED9">
        <w:rPr>
          <w:rFonts w:ascii="Arial" w:eastAsia="Helvetica" w:hAnsi="Arial" w:cs="Arial"/>
          <w:sz w:val="16"/>
          <w:szCs w:val="16"/>
        </w:rPr>
        <w:t xml:space="preserve"> </w:t>
      </w:r>
      <w:r w:rsidRPr="00175ED9">
        <w:rPr>
          <w:rFonts w:ascii="Arial" w:eastAsia="Helvetica" w:hAnsi="Arial" w:cs="Arial"/>
          <w:sz w:val="16"/>
          <w:szCs w:val="16"/>
        </w:rPr>
        <w:t>KGP z 2026 r. poz. 65), które</w:t>
      </w:r>
      <w:r w:rsidR="00092599" w:rsidRPr="00092599">
        <w:rPr>
          <w:rFonts w:ascii="Arial" w:eastAsia="Helvetica" w:hAnsi="Arial" w:cs="Arial"/>
          <w:sz w:val="16"/>
          <w:szCs w:val="16"/>
        </w:rPr>
        <w:t xml:space="preserve"> </w:t>
      </w:r>
      <w:r w:rsidR="00092599" w:rsidRPr="00175ED9">
        <w:rPr>
          <w:rFonts w:ascii="Arial" w:eastAsia="Helvetica" w:hAnsi="Arial" w:cs="Arial"/>
          <w:sz w:val="16"/>
          <w:szCs w:val="16"/>
        </w:rPr>
        <w:t>w</w:t>
      </w:r>
      <w:r w:rsidR="00092599">
        <w:rPr>
          <w:rFonts w:ascii="Arial" w:eastAsia="Helvetica" w:hAnsi="Arial" w:cs="Arial"/>
          <w:sz w:val="16"/>
          <w:szCs w:val="16"/>
        </w:rPr>
        <w:t>eszło</w:t>
      </w:r>
      <w:r w:rsidR="00092599" w:rsidRPr="00175ED9">
        <w:rPr>
          <w:rFonts w:ascii="Arial" w:eastAsia="Helvetica" w:hAnsi="Arial" w:cs="Arial"/>
          <w:sz w:val="16"/>
          <w:szCs w:val="16"/>
        </w:rPr>
        <w:t xml:space="preserve"> </w:t>
      </w:r>
      <w:r w:rsidRPr="00175ED9">
        <w:rPr>
          <w:rFonts w:ascii="Arial" w:eastAsia="Helvetica" w:hAnsi="Arial" w:cs="Arial"/>
          <w:sz w:val="16"/>
          <w:szCs w:val="16"/>
        </w:rPr>
        <w:t>w życie 12.06.2026 r.</w:t>
      </w:r>
    </w:p>
  </w:footnote>
  <w:footnote w:id="6">
    <w:p w14:paraId="7BC1C904" w14:textId="5833D88D" w:rsidR="00B074C8" w:rsidRPr="00175ED9" w:rsidRDefault="00000000" w:rsidP="001353B4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75ED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75ED9">
        <w:rPr>
          <w:rFonts w:ascii="Arial" w:eastAsia="Helvetica" w:hAnsi="Arial" w:cs="Arial"/>
          <w:sz w:val="16"/>
          <w:szCs w:val="16"/>
        </w:rPr>
        <w:t xml:space="preserve"> § 10 ust. 1 pkt 3a dodany zarządzeniem z dnia 20.05.2025 r. (Dz.</w:t>
      </w:r>
      <w:r w:rsidR="001353B4" w:rsidRPr="00175ED9">
        <w:rPr>
          <w:rFonts w:ascii="Arial" w:eastAsia="Helvetica" w:hAnsi="Arial" w:cs="Arial"/>
          <w:sz w:val="16"/>
          <w:szCs w:val="16"/>
        </w:rPr>
        <w:t xml:space="preserve"> </w:t>
      </w:r>
      <w:r w:rsidRPr="00175ED9">
        <w:rPr>
          <w:rFonts w:ascii="Arial" w:eastAsia="Helvetica" w:hAnsi="Arial" w:cs="Arial"/>
          <w:sz w:val="16"/>
          <w:szCs w:val="16"/>
        </w:rPr>
        <w:t>Urz.</w:t>
      </w:r>
      <w:r w:rsidR="001353B4" w:rsidRPr="00175ED9">
        <w:rPr>
          <w:rFonts w:ascii="Arial" w:eastAsia="Helvetica" w:hAnsi="Arial" w:cs="Arial"/>
          <w:sz w:val="16"/>
          <w:szCs w:val="16"/>
        </w:rPr>
        <w:t xml:space="preserve"> </w:t>
      </w:r>
      <w:r w:rsidRPr="00175ED9">
        <w:rPr>
          <w:rFonts w:ascii="Arial" w:eastAsia="Helvetica" w:hAnsi="Arial" w:cs="Arial"/>
          <w:sz w:val="16"/>
          <w:szCs w:val="16"/>
        </w:rPr>
        <w:t xml:space="preserve">KGP z 2025 r. poz. 41), które </w:t>
      </w:r>
      <w:r w:rsidR="00092599" w:rsidRPr="00175ED9">
        <w:rPr>
          <w:rFonts w:ascii="Arial" w:eastAsia="Helvetica" w:hAnsi="Arial" w:cs="Arial"/>
          <w:sz w:val="16"/>
          <w:szCs w:val="16"/>
        </w:rPr>
        <w:t>w</w:t>
      </w:r>
      <w:r w:rsidR="00092599">
        <w:rPr>
          <w:rFonts w:ascii="Arial" w:eastAsia="Helvetica" w:hAnsi="Arial" w:cs="Arial"/>
          <w:sz w:val="16"/>
          <w:szCs w:val="16"/>
        </w:rPr>
        <w:t>eszło</w:t>
      </w:r>
      <w:r w:rsidRPr="00175ED9">
        <w:rPr>
          <w:rFonts w:ascii="Arial" w:eastAsia="Helvetica" w:hAnsi="Arial" w:cs="Arial"/>
          <w:sz w:val="16"/>
          <w:szCs w:val="16"/>
        </w:rPr>
        <w:t xml:space="preserve"> w życie 6.06.2025 r.</w:t>
      </w:r>
    </w:p>
  </w:footnote>
  <w:footnote w:id="7">
    <w:p w14:paraId="5449A8C5" w14:textId="3384FF94" w:rsidR="00B074C8" w:rsidRPr="00244F02" w:rsidRDefault="00000000" w:rsidP="001353B4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4F0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02">
        <w:rPr>
          <w:rFonts w:ascii="Arial" w:eastAsia="Helvetica" w:hAnsi="Arial" w:cs="Arial"/>
          <w:sz w:val="16"/>
          <w:szCs w:val="16"/>
        </w:rPr>
        <w:t xml:space="preserve"> § 15 ust. 1 pkt 9 dodany zarządzeniem z dnia 18.10.2019 r. (Dz.</w:t>
      </w:r>
      <w:r w:rsidR="001353B4" w:rsidRPr="00244F02">
        <w:rPr>
          <w:rFonts w:ascii="Arial" w:eastAsia="Helvetica" w:hAnsi="Arial" w:cs="Arial"/>
          <w:sz w:val="16"/>
          <w:szCs w:val="16"/>
        </w:rPr>
        <w:t xml:space="preserve"> </w:t>
      </w:r>
      <w:r w:rsidRPr="00244F02">
        <w:rPr>
          <w:rFonts w:ascii="Arial" w:eastAsia="Helvetica" w:hAnsi="Arial" w:cs="Arial"/>
          <w:sz w:val="16"/>
          <w:szCs w:val="16"/>
        </w:rPr>
        <w:t>Urz.</w:t>
      </w:r>
      <w:r w:rsidR="001353B4" w:rsidRPr="00244F02">
        <w:rPr>
          <w:rFonts w:ascii="Arial" w:eastAsia="Helvetica" w:hAnsi="Arial" w:cs="Arial"/>
          <w:sz w:val="16"/>
          <w:szCs w:val="16"/>
        </w:rPr>
        <w:t xml:space="preserve"> </w:t>
      </w:r>
      <w:r w:rsidRPr="00244F02">
        <w:rPr>
          <w:rFonts w:ascii="Arial" w:eastAsia="Helvetica" w:hAnsi="Arial" w:cs="Arial"/>
          <w:sz w:val="16"/>
          <w:szCs w:val="16"/>
        </w:rPr>
        <w:t xml:space="preserve">KGP z 2019 r. poz. 109), które </w:t>
      </w:r>
      <w:r w:rsidR="00092599" w:rsidRPr="00175ED9">
        <w:rPr>
          <w:rFonts w:ascii="Arial" w:eastAsia="Helvetica" w:hAnsi="Arial" w:cs="Arial"/>
          <w:sz w:val="16"/>
          <w:szCs w:val="16"/>
        </w:rPr>
        <w:t>w</w:t>
      </w:r>
      <w:r w:rsidR="00092599">
        <w:rPr>
          <w:rFonts w:ascii="Arial" w:eastAsia="Helvetica" w:hAnsi="Arial" w:cs="Arial"/>
          <w:sz w:val="16"/>
          <w:szCs w:val="16"/>
        </w:rPr>
        <w:t>eszło</w:t>
      </w:r>
      <w:r w:rsidRPr="00244F02">
        <w:rPr>
          <w:rFonts w:ascii="Arial" w:eastAsia="Helvetica" w:hAnsi="Arial" w:cs="Arial"/>
          <w:sz w:val="16"/>
          <w:szCs w:val="16"/>
        </w:rPr>
        <w:t xml:space="preserve"> w życie 9.11.2019 r.</w:t>
      </w:r>
    </w:p>
  </w:footnote>
  <w:footnote w:id="8">
    <w:p w14:paraId="28DC7365" w14:textId="0AA5DB61" w:rsidR="00B074C8" w:rsidRDefault="00000000" w:rsidP="001353B4">
      <w:pPr>
        <w:pStyle w:val="Tekstprzypisudolnego"/>
        <w:spacing w:after="0" w:line="240" w:lineRule="auto"/>
        <w:jc w:val="both"/>
      </w:pPr>
      <w:r w:rsidRPr="00244F0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02">
        <w:rPr>
          <w:rFonts w:ascii="Arial" w:eastAsia="Helvetica" w:hAnsi="Arial" w:cs="Arial"/>
          <w:sz w:val="16"/>
          <w:szCs w:val="16"/>
        </w:rPr>
        <w:t xml:space="preserve"> § 15 ust. 4 dodany zarządzeniem z dnia 18.10.2019 r. (Dz.</w:t>
      </w:r>
      <w:r w:rsidR="001353B4" w:rsidRPr="00244F02">
        <w:rPr>
          <w:rFonts w:ascii="Arial" w:eastAsia="Helvetica" w:hAnsi="Arial" w:cs="Arial"/>
          <w:sz w:val="16"/>
          <w:szCs w:val="16"/>
        </w:rPr>
        <w:t xml:space="preserve"> </w:t>
      </w:r>
      <w:r w:rsidRPr="00244F02">
        <w:rPr>
          <w:rFonts w:ascii="Arial" w:eastAsia="Helvetica" w:hAnsi="Arial" w:cs="Arial"/>
          <w:sz w:val="16"/>
          <w:szCs w:val="16"/>
        </w:rPr>
        <w:t>Urz.</w:t>
      </w:r>
      <w:r w:rsidR="001353B4" w:rsidRPr="00244F02">
        <w:rPr>
          <w:rFonts w:ascii="Arial" w:eastAsia="Helvetica" w:hAnsi="Arial" w:cs="Arial"/>
          <w:sz w:val="16"/>
          <w:szCs w:val="16"/>
        </w:rPr>
        <w:t xml:space="preserve"> </w:t>
      </w:r>
      <w:r w:rsidRPr="00244F02">
        <w:rPr>
          <w:rFonts w:ascii="Arial" w:eastAsia="Helvetica" w:hAnsi="Arial" w:cs="Arial"/>
          <w:sz w:val="16"/>
          <w:szCs w:val="16"/>
        </w:rPr>
        <w:t xml:space="preserve">KGP z 2019 r. poz. 109), które </w:t>
      </w:r>
      <w:r w:rsidR="00092599" w:rsidRPr="00175ED9">
        <w:rPr>
          <w:rFonts w:ascii="Arial" w:eastAsia="Helvetica" w:hAnsi="Arial" w:cs="Arial"/>
          <w:sz w:val="16"/>
          <w:szCs w:val="16"/>
        </w:rPr>
        <w:t>w</w:t>
      </w:r>
      <w:r w:rsidR="00092599">
        <w:rPr>
          <w:rFonts w:ascii="Arial" w:eastAsia="Helvetica" w:hAnsi="Arial" w:cs="Arial"/>
          <w:sz w:val="16"/>
          <w:szCs w:val="16"/>
        </w:rPr>
        <w:t>eszło</w:t>
      </w:r>
      <w:r w:rsidRPr="00244F02">
        <w:rPr>
          <w:rFonts w:ascii="Arial" w:eastAsia="Helvetica" w:hAnsi="Arial" w:cs="Arial"/>
          <w:sz w:val="16"/>
          <w:szCs w:val="16"/>
        </w:rPr>
        <w:t xml:space="preserve"> w życie 9.11.2019 r.</w:t>
      </w:r>
    </w:p>
  </w:footnote>
  <w:footnote w:id="9">
    <w:p w14:paraId="2C43BDC3" w14:textId="0AB0FE58" w:rsidR="00B074C8" w:rsidRPr="00DF21BD" w:rsidRDefault="00000000" w:rsidP="001353B4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21B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21BD">
        <w:rPr>
          <w:rFonts w:ascii="Arial" w:eastAsia="Helvetica" w:hAnsi="Arial" w:cs="Arial"/>
          <w:sz w:val="16"/>
          <w:szCs w:val="16"/>
        </w:rPr>
        <w:t xml:space="preserve"> § 22 ust. 4 dodany zarządzeniem z dnia 10.06.2026 r. (Dz.</w:t>
      </w:r>
      <w:r w:rsidR="001353B4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>Urz.</w:t>
      </w:r>
      <w:r w:rsidR="001353B4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 xml:space="preserve">KGP z 2026 r. poz. 65), które </w:t>
      </w:r>
      <w:r w:rsidR="00092599" w:rsidRPr="00175ED9">
        <w:rPr>
          <w:rFonts w:ascii="Arial" w:eastAsia="Helvetica" w:hAnsi="Arial" w:cs="Arial"/>
          <w:sz w:val="16"/>
          <w:szCs w:val="16"/>
        </w:rPr>
        <w:t>w</w:t>
      </w:r>
      <w:r w:rsidR="00092599">
        <w:rPr>
          <w:rFonts w:ascii="Arial" w:eastAsia="Helvetica" w:hAnsi="Arial" w:cs="Arial"/>
          <w:sz w:val="16"/>
          <w:szCs w:val="16"/>
        </w:rPr>
        <w:t>eszło</w:t>
      </w:r>
      <w:r w:rsidRPr="00DF21BD">
        <w:rPr>
          <w:rFonts w:ascii="Arial" w:eastAsia="Helvetica" w:hAnsi="Arial" w:cs="Arial"/>
          <w:sz w:val="16"/>
          <w:szCs w:val="16"/>
        </w:rPr>
        <w:t xml:space="preserve"> w życie 12.06.2026 r.</w:t>
      </w:r>
    </w:p>
  </w:footnote>
  <w:footnote w:id="10">
    <w:p w14:paraId="3DD3B409" w14:textId="5DF6E91C" w:rsidR="00B074C8" w:rsidRPr="00DF21BD" w:rsidRDefault="00000000" w:rsidP="00103C6A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21B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21BD">
        <w:rPr>
          <w:rFonts w:ascii="Arial" w:eastAsia="Helvetica" w:hAnsi="Arial" w:cs="Arial"/>
          <w:sz w:val="16"/>
          <w:szCs w:val="16"/>
        </w:rPr>
        <w:t xml:space="preserve"> § 25 ust. 8 w brzmieniu zarządzenia z dnia 10.06.2026 r. (Dz.</w:t>
      </w:r>
      <w:r w:rsidR="00103C6A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>Urz.</w:t>
      </w:r>
      <w:r w:rsidR="00103C6A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 xml:space="preserve">KGP z 2026 r. poz. 65), które </w:t>
      </w:r>
      <w:r w:rsidR="00092599" w:rsidRPr="00175ED9">
        <w:rPr>
          <w:rFonts w:ascii="Arial" w:eastAsia="Helvetica" w:hAnsi="Arial" w:cs="Arial"/>
          <w:sz w:val="16"/>
          <w:szCs w:val="16"/>
        </w:rPr>
        <w:t>w</w:t>
      </w:r>
      <w:r w:rsidR="00092599">
        <w:rPr>
          <w:rFonts w:ascii="Arial" w:eastAsia="Helvetica" w:hAnsi="Arial" w:cs="Arial"/>
          <w:sz w:val="16"/>
          <w:szCs w:val="16"/>
        </w:rPr>
        <w:t>eszło</w:t>
      </w:r>
      <w:r w:rsidRPr="00DF21BD">
        <w:rPr>
          <w:rFonts w:ascii="Arial" w:eastAsia="Helvetica" w:hAnsi="Arial" w:cs="Arial"/>
          <w:sz w:val="16"/>
          <w:szCs w:val="16"/>
        </w:rPr>
        <w:t xml:space="preserve"> w życie 12.06.2026 r.</w:t>
      </w:r>
    </w:p>
  </w:footnote>
  <w:footnote w:id="11">
    <w:p w14:paraId="7DAEA112" w14:textId="62E24F7D" w:rsidR="00B074C8" w:rsidRDefault="00000000" w:rsidP="00103C6A">
      <w:pPr>
        <w:pStyle w:val="Tekstprzypisudolnego"/>
        <w:spacing w:after="0" w:line="240" w:lineRule="auto"/>
        <w:jc w:val="both"/>
      </w:pPr>
      <w:r w:rsidRPr="00DF21B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21BD">
        <w:rPr>
          <w:rFonts w:ascii="Arial" w:eastAsia="Helvetica" w:hAnsi="Arial" w:cs="Arial"/>
          <w:sz w:val="16"/>
          <w:szCs w:val="16"/>
        </w:rPr>
        <w:t xml:space="preserve"> § 25 ust. 9 w brzmieniu zarządzenia z dnia 10.06.2026 r. (Dz.</w:t>
      </w:r>
      <w:r w:rsidR="00103C6A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>Urz.</w:t>
      </w:r>
      <w:r w:rsidR="00103C6A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 xml:space="preserve">KGP z 2026 r. poz. 65), które </w:t>
      </w:r>
      <w:r w:rsidR="00092599" w:rsidRPr="00175ED9">
        <w:rPr>
          <w:rFonts w:ascii="Arial" w:eastAsia="Helvetica" w:hAnsi="Arial" w:cs="Arial"/>
          <w:sz w:val="16"/>
          <w:szCs w:val="16"/>
        </w:rPr>
        <w:t>w</w:t>
      </w:r>
      <w:r w:rsidR="00092599">
        <w:rPr>
          <w:rFonts w:ascii="Arial" w:eastAsia="Helvetica" w:hAnsi="Arial" w:cs="Arial"/>
          <w:sz w:val="16"/>
          <w:szCs w:val="16"/>
        </w:rPr>
        <w:t>eszło</w:t>
      </w:r>
      <w:r w:rsidRPr="00DF21BD">
        <w:rPr>
          <w:rFonts w:ascii="Arial" w:eastAsia="Helvetica" w:hAnsi="Arial" w:cs="Arial"/>
          <w:sz w:val="16"/>
          <w:szCs w:val="16"/>
        </w:rPr>
        <w:t xml:space="preserve"> w życie 12.06.2026 r.</w:t>
      </w:r>
    </w:p>
  </w:footnote>
  <w:footnote w:id="12">
    <w:p w14:paraId="2F662DA5" w14:textId="6A24F7EE" w:rsidR="00B074C8" w:rsidRPr="00DF21BD" w:rsidRDefault="00000000" w:rsidP="00103C6A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21B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21BD">
        <w:rPr>
          <w:rFonts w:ascii="Arial" w:eastAsia="Helvetica" w:hAnsi="Arial" w:cs="Arial"/>
          <w:sz w:val="16"/>
          <w:szCs w:val="16"/>
        </w:rPr>
        <w:t xml:space="preserve"> § 26 ust. 1 pkt 7a dodany zarządzeniem z dnia 20.05.2025 r. (Dz.</w:t>
      </w:r>
      <w:r w:rsidR="00FE3952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>Urz.</w:t>
      </w:r>
      <w:r w:rsidR="00FE3952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 xml:space="preserve">KGP z 2025 r. poz. 41), które </w:t>
      </w:r>
      <w:r w:rsidR="00092599" w:rsidRPr="00175ED9">
        <w:rPr>
          <w:rFonts w:ascii="Arial" w:eastAsia="Helvetica" w:hAnsi="Arial" w:cs="Arial"/>
          <w:sz w:val="16"/>
          <w:szCs w:val="16"/>
        </w:rPr>
        <w:t>w</w:t>
      </w:r>
      <w:r w:rsidR="00092599">
        <w:rPr>
          <w:rFonts w:ascii="Arial" w:eastAsia="Helvetica" w:hAnsi="Arial" w:cs="Arial"/>
          <w:sz w:val="16"/>
          <w:szCs w:val="16"/>
        </w:rPr>
        <w:t>eszło</w:t>
      </w:r>
      <w:r w:rsidR="00092599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>w życie 6.06.2025 r.</w:t>
      </w:r>
    </w:p>
  </w:footnote>
  <w:footnote w:id="13">
    <w:p w14:paraId="7DF1E163" w14:textId="57027FBC" w:rsidR="00B074C8" w:rsidRPr="00DF21BD" w:rsidRDefault="00000000" w:rsidP="00103C6A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21B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21BD">
        <w:rPr>
          <w:rFonts w:ascii="Arial" w:eastAsia="Helvetica" w:hAnsi="Arial" w:cs="Arial"/>
          <w:sz w:val="16"/>
          <w:szCs w:val="16"/>
        </w:rPr>
        <w:t xml:space="preserve"> § 26 ust. 5 w brzmieniu zarządzenia z dnia 10.06.2026 r. (Dz.</w:t>
      </w:r>
      <w:r w:rsidR="00103C6A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>Urz.</w:t>
      </w:r>
      <w:r w:rsidR="00103C6A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 xml:space="preserve">KGP z 2026 r. poz. 65), które </w:t>
      </w:r>
      <w:r w:rsidR="00092599" w:rsidRPr="00175ED9">
        <w:rPr>
          <w:rFonts w:ascii="Arial" w:eastAsia="Helvetica" w:hAnsi="Arial" w:cs="Arial"/>
          <w:sz w:val="16"/>
          <w:szCs w:val="16"/>
        </w:rPr>
        <w:t>w</w:t>
      </w:r>
      <w:r w:rsidR="00092599">
        <w:rPr>
          <w:rFonts w:ascii="Arial" w:eastAsia="Helvetica" w:hAnsi="Arial" w:cs="Arial"/>
          <w:sz w:val="16"/>
          <w:szCs w:val="16"/>
        </w:rPr>
        <w:t>eszło</w:t>
      </w:r>
      <w:r w:rsidRPr="00DF21BD">
        <w:rPr>
          <w:rFonts w:ascii="Arial" w:eastAsia="Helvetica" w:hAnsi="Arial" w:cs="Arial"/>
          <w:sz w:val="16"/>
          <w:szCs w:val="16"/>
        </w:rPr>
        <w:t xml:space="preserve"> w życie 12.06.2026 r.</w:t>
      </w:r>
    </w:p>
  </w:footnote>
  <w:footnote w:id="14">
    <w:p w14:paraId="436099FC" w14:textId="7AB74198" w:rsidR="00B074C8" w:rsidRDefault="00000000" w:rsidP="00103C6A">
      <w:pPr>
        <w:pStyle w:val="Tekstprzypisudolnego"/>
        <w:spacing w:after="0" w:line="240" w:lineRule="auto"/>
        <w:jc w:val="both"/>
      </w:pPr>
      <w:r w:rsidRPr="00DF21B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21BD">
        <w:rPr>
          <w:rFonts w:ascii="Arial" w:eastAsia="Helvetica" w:hAnsi="Arial" w:cs="Arial"/>
          <w:sz w:val="16"/>
          <w:szCs w:val="16"/>
        </w:rPr>
        <w:t xml:space="preserve"> § 26 ust. 6 dodany zarządzeniem z dnia 10.06.2026 r. (Dz.</w:t>
      </w:r>
      <w:r w:rsidR="00103C6A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>Urz.</w:t>
      </w:r>
      <w:r w:rsidR="00103C6A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 xml:space="preserve">KGP z 2026 r. poz. 65), które </w:t>
      </w:r>
      <w:r w:rsidR="00BD6F85" w:rsidRPr="00175ED9">
        <w:rPr>
          <w:rFonts w:ascii="Arial" w:eastAsia="Helvetica" w:hAnsi="Arial" w:cs="Arial"/>
          <w:sz w:val="16"/>
          <w:szCs w:val="16"/>
        </w:rPr>
        <w:t>w</w:t>
      </w:r>
      <w:r w:rsidR="00BD6F85">
        <w:rPr>
          <w:rFonts w:ascii="Arial" w:eastAsia="Helvetica" w:hAnsi="Arial" w:cs="Arial"/>
          <w:sz w:val="16"/>
          <w:szCs w:val="16"/>
        </w:rPr>
        <w:t>eszło</w:t>
      </w:r>
      <w:r w:rsidR="00BD6F85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>w życie 12.06.2026 r.</w:t>
      </w:r>
    </w:p>
  </w:footnote>
  <w:footnote w:id="15">
    <w:p w14:paraId="6C003EAC" w14:textId="6BFB042B" w:rsidR="00B074C8" w:rsidRPr="00DF21BD" w:rsidRDefault="00000000" w:rsidP="00103C6A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21B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21BD">
        <w:rPr>
          <w:rFonts w:ascii="Arial" w:eastAsia="Helvetica" w:hAnsi="Arial" w:cs="Arial"/>
          <w:sz w:val="16"/>
          <w:szCs w:val="16"/>
        </w:rPr>
        <w:t xml:space="preserve"> § 38 ust. 1 w brzmieniu zarządzenia z dnia 10.06.2026 r. (Dz.</w:t>
      </w:r>
      <w:r w:rsidR="00103C6A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>Urz.</w:t>
      </w:r>
      <w:r w:rsidR="00103C6A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 xml:space="preserve">KGP z 2026 r. poz. 65), które </w:t>
      </w:r>
      <w:r w:rsidR="00BD6F85" w:rsidRPr="00175ED9">
        <w:rPr>
          <w:rFonts w:ascii="Arial" w:eastAsia="Helvetica" w:hAnsi="Arial" w:cs="Arial"/>
          <w:sz w:val="16"/>
          <w:szCs w:val="16"/>
        </w:rPr>
        <w:t>w</w:t>
      </w:r>
      <w:r w:rsidR="00BD6F85">
        <w:rPr>
          <w:rFonts w:ascii="Arial" w:eastAsia="Helvetica" w:hAnsi="Arial" w:cs="Arial"/>
          <w:sz w:val="16"/>
          <w:szCs w:val="16"/>
        </w:rPr>
        <w:t>eszło</w:t>
      </w:r>
      <w:r w:rsidRPr="00DF21BD">
        <w:rPr>
          <w:rFonts w:ascii="Arial" w:eastAsia="Helvetica" w:hAnsi="Arial" w:cs="Arial"/>
          <w:sz w:val="16"/>
          <w:szCs w:val="16"/>
        </w:rPr>
        <w:t xml:space="preserve"> w życie 12.06.2026 r.</w:t>
      </w:r>
    </w:p>
  </w:footnote>
  <w:footnote w:id="16">
    <w:p w14:paraId="60713C6D" w14:textId="767C6DC6" w:rsidR="00B074C8" w:rsidRPr="00DF21BD" w:rsidRDefault="00000000" w:rsidP="00103C6A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21B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21BD">
        <w:rPr>
          <w:rFonts w:ascii="Arial" w:eastAsia="Helvetica" w:hAnsi="Arial" w:cs="Arial"/>
          <w:sz w:val="16"/>
          <w:szCs w:val="16"/>
        </w:rPr>
        <w:t xml:space="preserve"> § 38 ust. 4 w brzmieniu zarządzenia z dnia 10.06.2026 r. (Dz.</w:t>
      </w:r>
      <w:r w:rsidR="00103C6A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>Urz.</w:t>
      </w:r>
      <w:r w:rsidR="00103C6A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 xml:space="preserve">KGP z 2026 r. poz. 65), które </w:t>
      </w:r>
      <w:r w:rsidR="00BD6F85" w:rsidRPr="00175ED9">
        <w:rPr>
          <w:rFonts w:ascii="Arial" w:eastAsia="Helvetica" w:hAnsi="Arial" w:cs="Arial"/>
          <w:sz w:val="16"/>
          <w:szCs w:val="16"/>
        </w:rPr>
        <w:t>w</w:t>
      </w:r>
      <w:r w:rsidR="00BD6F85">
        <w:rPr>
          <w:rFonts w:ascii="Arial" w:eastAsia="Helvetica" w:hAnsi="Arial" w:cs="Arial"/>
          <w:sz w:val="16"/>
          <w:szCs w:val="16"/>
        </w:rPr>
        <w:t>eszło</w:t>
      </w:r>
      <w:r w:rsidR="00BD6F85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>w życie 12.06.2026 r.</w:t>
      </w:r>
    </w:p>
  </w:footnote>
  <w:footnote w:id="17">
    <w:p w14:paraId="732809D2" w14:textId="1F30684D" w:rsidR="00B074C8" w:rsidRDefault="00000000" w:rsidP="00103C6A">
      <w:pPr>
        <w:pStyle w:val="Tekstprzypisudolnego"/>
        <w:spacing w:after="0" w:line="240" w:lineRule="auto"/>
        <w:jc w:val="both"/>
      </w:pPr>
      <w:r w:rsidRPr="00DF21B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21BD">
        <w:rPr>
          <w:rFonts w:ascii="Arial" w:eastAsia="Helvetica" w:hAnsi="Arial" w:cs="Arial"/>
          <w:sz w:val="16"/>
          <w:szCs w:val="16"/>
        </w:rPr>
        <w:t xml:space="preserve"> § 38 ust. 5 w brzmieniu zarządzenia z dnia 10.06.2026 r. (Dz.</w:t>
      </w:r>
      <w:r w:rsidR="00103C6A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>Urz.</w:t>
      </w:r>
      <w:r w:rsidR="00103C6A" w:rsidRPr="00DF21BD">
        <w:rPr>
          <w:rFonts w:ascii="Arial" w:eastAsia="Helvetica" w:hAnsi="Arial" w:cs="Arial"/>
          <w:sz w:val="16"/>
          <w:szCs w:val="16"/>
        </w:rPr>
        <w:t xml:space="preserve"> </w:t>
      </w:r>
      <w:r w:rsidRPr="00DF21BD">
        <w:rPr>
          <w:rFonts w:ascii="Arial" w:eastAsia="Helvetica" w:hAnsi="Arial" w:cs="Arial"/>
          <w:sz w:val="16"/>
          <w:szCs w:val="16"/>
        </w:rPr>
        <w:t xml:space="preserve">KGP z 2026 r. poz. 65), które </w:t>
      </w:r>
      <w:r w:rsidR="00BD6F85" w:rsidRPr="00175ED9">
        <w:rPr>
          <w:rFonts w:ascii="Arial" w:eastAsia="Helvetica" w:hAnsi="Arial" w:cs="Arial"/>
          <w:sz w:val="16"/>
          <w:szCs w:val="16"/>
        </w:rPr>
        <w:t>w</w:t>
      </w:r>
      <w:r w:rsidR="00BD6F85">
        <w:rPr>
          <w:rFonts w:ascii="Arial" w:eastAsia="Helvetica" w:hAnsi="Arial" w:cs="Arial"/>
          <w:sz w:val="16"/>
          <w:szCs w:val="16"/>
        </w:rPr>
        <w:t>eszło</w:t>
      </w:r>
      <w:r w:rsidRPr="00DF21BD">
        <w:rPr>
          <w:rFonts w:ascii="Arial" w:eastAsia="Helvetica" w:hAnsi="Arial" w:cs="Arial"/>
          <w:sz w:val="16"/>
          <w:szCs w:val="16"/>
        </w:rPr>
        <w:t xml:space="preserve"> w życie 12.06.2026 r.</w:t>
      </w:r>
    </w:p>
  </w:footnote>
  <w:footnote w:id="18">
    <w:p w14:paraId="620DB087" w14:textId="5F422D3F" w:rsidR="00B074C8" w:rsidRPr="00DF21BD" w:rsidRDefault="00000000" w:rsidP="00A4384F">
      <w:pPr>
        <w:pStyle w:val="Tekstprzypisudolnego"/>
        <w:spacing w:after="0" w:line="240" w:lineRule="auto"/>
        <w:jc w:val="both"/>
        <w:rPr>
          <w:sz w:val="16"/>
          <w:szCs w:val="16"/>
        </w:rPr>
      </w:pPr>
      <w:r w:rsidRPr="00DF21BD">
        <w:rPr>
          <w:rStyle w:val="Odwoanieprzypisudolnego"/>
          <w:sz w:val="16"/>
          <w:szCs w:val="16"/>
        </w:rPr>
        <w:footnoteRef/>
      </w:r>
      <w:r w:rsidRPr="00DF21BD">
        <w:rPr>
          <w:rFonts w:ascii="Helvetica" w:eastAsia="Helvetica" w:hAnsi="Helvetica" w:cs="Helvetica"/>
          <w:sz w:val="16"/>
          <w:szCs w:val="16"/>
        </w:rPr>
        <w:t xml:space="preserve"> § 42 ust. 2 w brzmieniu zarządzenia z dnia 10.06.2026 r. (Dz.</w:t>
      </w:r>
      <w:r w:rsidR="00A4384F" w:rsidRPr="00DF21BD">
        <w:rPr>
          <w:rFonts w:ascii="Helvetica" w:eastAsia="Helvetica" w:hAnsi="Helvetica" w:cs="Helvetica"/>
          <w:sz w:val="16"/>
          <w:szCs w:val="16"/>
        </w:rPr>
        <w:t xml:space="preserve"> </w:t>
      </w:r>
      <w:r w:rsidRPr="00DF21BD">
        <w:rPr>
          <w:rFonts w:ascii="Helvetica" w:eastAsia="Helvetica" w:hAnsi="Helvetica" w:cs="Helvetica"/>
          <w:sz w:val="16"/>
          <w:szCs w:val="16"/>
        </w:rPr>
        <w:t>Urz.</w:t>
      </w:r>
      <w:r w:rsidR="00A4384F" w:rsidRPr="00DF21BD">
        <w:rPr>
          <w:rFonts w:ascii="Helvetica" w:eastAsia="Helvetica" w:hAnsi="Helvetica" w:cs="Helvetica"/>
          <w:sz w:val="16"/>
          <w:szCs w:val="16"/>
        </w:rPr>
        <w:t xml:space="preserve"> </w:t>
      </w:r>
      <w:r w:rsidRPr="00DF21BD">
        <w:rPr>
          <w:rFonts w:ascii="Helvetica" w:eastAsia="Helvetica" w:hAnsi="Helvetica" w:cs="Helvetica"/>
          <w:sz w:val="16"/>
          <w:szCs w:val="16"/>
        </w:rPr>
        <w:t xml:space="preserve">KGP z 2026 r. poz. 65), które </w:t>
      </w:r>
      <w:r w:rsidR="00BD6F85" w:rsidRPr="00175ED9">
        <w:rPr>
          <w:rFonts w:ascii="Arial" w:eastAsia="Helvetica" w:hAnsi="Arial" w:cs="Arial"/>
          <w:sz w:val="16"/>
          <w:szCs w:val="16"/>
        </w:rPr>
        <w:t>w</w:t>
      </w:r>
      <w:r w:rsidR="00BD6F85">
        <w:rPr>
          <w:rFonts w:ascii="Arial" w:eastAsia="Helvetica" w:hAnsi="Arial" w:cs="Arial"/>
          <w:sz w:val="16"/>
          <w:szCs w:val="16"/>
        </w:rPr>
        <w:t>eszło</w:t>
      </w:r>
      <w:r w:rsidRPr="00DF21BD">
        <w:rPr>
          <w:rFonts w:ascii="Helvetica" w:eastAsia="Helvetica" w:hAnsi="Helvetica" w:cs="Helvetica"/>
          <w:sz w:val="16"/>
          <w:szCs w:val="16"/>
        </w:rPr>
        <w:t xml:space="preserve"> w życie 12.06.2026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4C8"/>
    <w:rsid w:val="00092599"/>
    <w:rsid w:val="00103C6A"/>
    <w:rsid w:val="001066A9"/>
    <w:rsid w:val="001353B4"/>
    <w:rsid w:val="00175ED9"/>
    <w:rsid w:val="001E55E6"/>
    <w:rsid w:val="00244F02"/>
    <w:rsid w:val="00424D50"/>
    <w:rsid w:val="00564825"/>
    <w:rsid w:val="00622F10"/>
    <w:rsid w:val="006D2E26"/>
    <w:rsid w:val="00717D4D"/>
    <w:rsid w:val="00744F7F"/>
    <w:rsid w:val="00813735"/>
    <w:rsid w:val="00A325B6"/>
    <w:rsid w:val="00A4384F"/>
    <w:rsid w:val="00B074C8"/>
    <w:rsid w:val="00B56A26"/>
    <w:rsid w:val="00BD6F85"/>
    <w:rsid w:val="00C16176"/>
    <w:rsid w:val="00C97729"/>
    <w:rsid w:val="00D51E4E"/>
    <w:rsid w:val="00D65684"/>
    <w:rsid w:val="00DF21BD"/>
    <w:rsid w:val="00E806C7"/>
    <w:rsid w:val="00FE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FFC4"/>
  <w15:docId w15:val="{F22256EF-5928-4DB1-B1C8-440297C1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E3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3952"/>
  </w:style>
  <w:style w:type="paragraph" w:styleId="Stopka">
    <w:name w:val="footer"/>
    <w:basedOn w:val="Normalny"/>
    <w:link w:val="StopkaZnak"/>
    <w:uiPriority w:val="99"/>
    <w:unhideWhenUsed/>
    <w:rsid w:val="00FE3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3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14</Pages>
  <Words>6070</Words>
  <Characters>36421</Characters>
  <Application>Microsoft Office Word</Application>
  <DocSecurity>0</DocSecurity>
  <Lines>303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KGP</Company>
  <LinksUpToDate>false</LinksUpToDate>
  <CharactersWithSpaces>42407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586449</cp:lastModifiedBy>
  <cp:revision>7</cp:revision>
  <dcterms:created xsi:type="dcterms:W3CDTF">2026-07-22T14:07:00Z</dcterms:created>
  <dcterms:modified xsi:type="dcterms:W3CDTF">2026-07-24T07:39:00Z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PPL">
    <vt:lpwstr>false</vt:lpwstr>
  </property>
</Properties>
</file>